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3E8C" w14:textId="43F5CD7C" w:rsidR="00AD444A" w:rsidRPr="003F426E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</w:t>
      </w:r>
      <w:r w:rsidR="00256BFC">
        <w:rPr>
          <w:b/>
          <w:noProof/>
          <w:sz w:val="24"/>
        </w:rPr>
        <w:t>3</w:t>
      </w:r>
      <w:r w:rsidRPr="003F426E">
        <w:rPr>
          <w:b/>
          <w:noProof/>
          <w:sz w:val="24"/>
        </w:rPr>
        <w:t>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r w:rsidR="00A70500" w:rsidRPr="00A70500">
        <w:rPr>
          <w:b/>
          <w:noProof/>
          <w:sz w:val="24"/>
        </w:rPr>
        <w:t>R1-2009115</w:t>
      </w:r>
      <w:bookmarkEnd w:id="0"/>
    </w:p>
    <w:p w14:paraId="0AFC8676" w14:textId="276832C9" w:rsidR="00AD444A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 xml:space="preserve">e-Meeting, </w:t>
      </w:r>
      <w:r w:rsidR="00256BFC">
        <w:rPr>
          <w:b/>
          <w:noProof/>
          <w:sz w:val="24"/>
        </w:rPr>
        <w:t>October</w:t>
      </w:r>
      <w:r w:rsidRPr="003F426E">
        <w:rPr>
          <w:b/>
          <w:noProof/>
          <w:sz w:val="24"/>
        </w:rPr>
        <w:t xml:space="preserve"> </w:t>
      </w:r>
      <w:r w:rsidR="00256BFC">
        <w:rPr>
          <w:b/>
          <w:noProof/>
          <w:sz w:val="24"/>
        </w:rPr>
        <w:t>26</w:t>
      </w:r>
      <w:r w:rsidRPr="00256BFC">
        <w:rPr>
          <w:b/>
          <w:noProof/>
          <w:sz w:val="24"/>
          <w:vertAlign w:val="superscript"/>
        </w:rPr>
        <w:t>th</w:t>
      </w:r>
      <w:r w:rsidR="00256BFC">
        <w:rPr>
          <w:b/>
          <w:noProof/>
          <w:sz w:val="24"/>
        </w:rPr>
        <w:t xml:space="preserve"> </w:t>
      </w:r>
      <w:r w:rsidRPr="003F426E">
        <w:rPr>
          <w:b/>
          <w:noProof/>
          <w:sz w:val="24"/>
        </w:rPr>
        <w:t xml:space="preserve">– </w:t>
      </w:r>
      <w:r w:rsidR="00256BFC">
        <w:rPr>
          <w:b/>
          <w:noProof/>
          <w:sz w:val="24"/>
        </w:rPr>
        <w:t>November 13</w:t>
      </w:r>
      <w:r w:rsidR="00256BFC" w:rsidRPr="00256BFC">
        <w:rPr>
          <w:b/>
          <w:noProof/>
          <w:sz w:val="24"/>
          <w:vertAlign w:val="superscript"/>
        </w:rPr>
        <w:t>th</w:t>
      </w:r>
      <w:r w:rsidRPr="003F426E">
        <w:rPr>
          <w:b/>
          <w:noProof/>
          <w:sz w:val="24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7000FACF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C778FF">
        <w:rPr>
          <w:rFonts w:ascii="Arial" w:hAnsi="Arial"/>
          <w:sz w:val="24"/>
        </w:rPr>
        <w:t>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04723E64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B16A2A" w:rsidRPr="00B16A2A">
        <w:rPr>
          <w:rFonts w:ascii="Arial" w:hAnsi="Arial"/>
          <w:sz w:val="24"/>
        </w:rPr>
        <w:t xml:space="preserve">Necessary changes to support NB-IoT and </w:t>
      </w:r>
      <w:proofErr w:type="spellStart"/>
      <w:r w:rsidR="00B16A2A" w:rsidRPr="00B16A2A">
        <w:rPr>
          <w:rFonts w:ascii="Arial" w:hAnsi="Arial"/>
          <w:sz w:val="24"/>
        </w:rPr>
        <w:t>eMTC</w:t>
      </w:r>
      <w:proofErr w:type="spellEnd"/>
      <w:r w:rsidR="00B16A2A" w:rsidRPr="00B16A2A">
        <w:rPr>
          <w:rFonts w:ascii="Arial" w:hAnsi="Arial"/>
          <w:sz w:val="24"/>
        </w:rPr>
        <w:t xml:space="preserve"> over satellite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</w:t>
      </w:r>
      <w:proofErr w:type="gramStart"/>
      <w:r w:rsidRPr="000C1B5A">
        <w:t>sufficient</w:t>
      </w:r>
      <w:proofErr w:type="gramEnd"/>
      <w:r w:rsidRPr="000C1B5A">
        <w:t xml:space="preserve">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64AF9A4B" w14:textId="7A7368A8" w:rsidR="00874392" w:rsidRPr="009B5D79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initial views on </w:t>
      </w:r>
      <w:r w:rsidR="00045BDF">
        <w:t>necessary 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>
        <w:rPr>
          <w:lang w:val="en-US"/>
        </w:rPr>
        <w:t>.</w:t>
      </w:r>
    </w:p>
    <w:p w14:paraId="63477C8E" w14:textId="3D791B33" w:rsidR="00D61DA9" w:rsidRDefault="00D3097D" w:rsidP="00AA635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Downlink and Uplink Synchronization</w:t>
      </w:r>
    </w:p>
    <w:p w14:paraId="18FAA3DF" w14:textId="6BF49D59" w:rsidR="00410A8D" w:rsidRDefault="00784DC8" w:rsidP="00A91281">
      <w:pPr>
        <w:pStyle w:val="Style2"/>
        <w:numPr>
          <w:ilvl w:val="1"/>
          <w:numId w:val="1"/>
        </w:numPr>
      </w:pPr>
      <w:r>
        <w:t>Accuracy of downlink frequency synchronization</w:t>
      </w:r>
    </w:p>
    <w:p w14:paraId="22454131" w14:textId="77777777" w:rsidR="0083283A" w:rsidRPr="00784DC8" w:rsidRDefault="0083283A" w:rsidP="0083283A"/>
    <w:p w14:paraId="4471A3CE" w14:textId="1E7E4AF4" w:rsidR="00D3097D" w:rsidRDefault="003F14E0" w:rsidP="003F14E0">
      <w:r w:rsidRPr="003F14E0">
        <w:t>Terrestrial NB-IoT</w:t>
      </w:r>
      <w:r w:rsidR="00595973">
        <w:t xml:space="preserve"> and </w:t>
      </w:r>
      <w:proofErr w:type="spellStart"/>
      <w:r w:rsidR="00595973">
        <w:t>eMTC</w:t>
      </w:r>
      <w:proofErr w:type="spellEnd"/>
      <w:r w:rsidRPr="003F14E0">
        <w:t xml:space="preserve"> UEs assume a 100 kHz channel raster</w:t>
      </w:r>
      <w:r>
        <w:t xml:space="preserve">. Assuming a standard </w:t>
      </w:r>
      <w:r w:rsidR="00CC10E9">
        <w:t xml:space="preserve">oscillator accuracy of </w:t>
      </w:r>
      <m:oMath>
        <m:r>
          <w:rPr>
            <w:rFonts w:ascii="Cambria Math" w:hAnsi="Cambria Math"/>
          </w:rPr>
          <m:t>20 ppm</m:t>
        </m:r>
      </m:oMath>
      <w:r w:rsidR="00CC10E9">
        <w:t xml:space="preserve">, </w:t>
      </w:r>
      <w:r w:rsidRPr="003F14E0">
        <w:t xml:space="preserve">or an S-band NTN network,  UEs may have a max. initial frequency error of up to (20 </w:t>
      </w:r>
      <w:r w:rsidRPr="003F14E0">
        <w:rPr>
          <w:rFonts w:ascii="Cambria Math" w:hAnsi="Cambria Math" w:cs="Cambria Math"/>
        </w:rPr>
        <w:t>𝑝𝑝𝑚</w:t>
      </w:r>
      <w:r w:rsidRPr="003F14E0">
        <w:t>)</w:t>
      </w:r>
      <w:r w:rsidR="008D022D">
        <w:t xml:space="preserve"> </w:t>
      </w:r>
      <w:r w:rsidRPr="003F14E0">
        <w:t>×</w:t>
      </w:r>
      <w:r w:rsidR="008D022D">
        <w:t xml:space="preserve"> </w:t>
      </w:r>
      <w:r w:rsidRPr="003F14E0">
        <w:t>(2×10^9 )</w:t>
      </w:r>
      <w:r w:rsidR="008D022D">
        <w:t xml:space="preserve"> </w:t>
      </w:r>
      <w:r w:rsidRPr="003F14E0">
        <w:t>+</w:t>
      </w:r>
      <w:r w:rsidR="008D022D">
        <w:t xml:space="preserve"> </w:t>
      </w:r>
      <w:r w:rsidRPr="003F14E0">
        <w:t>(7.5×10^3)</w:t>
      </w:r>
      <w:r w:rsidR="008D022D">
        <w:t xml:space="preserve"> </w:t>
      </w:r>
      <w:r w:rsidRPr="003F14E0">
        <w:t xml:space="preserve">=47.5 </w:t>
      </w:r>
      <w:r w:rsidRPr="003F14E0">
        <w:rPr>
          <w:rFonts w:ascii="Cambria Math" w:hAnsi="Cambria Math" w:cs="Cambria Math"/>
        </w:rPr>
        <w:t>𝑘𝐻𝑧</w:t>
      </w:r>
      <w:r w:rsidR="008D022D">
        <w:rPr>
          <w:rFonts w:ascii="Cambria Math" w:hAnsi="Cambria Math" w:cs="Cambria Math"/>
        </w:rPr>
        <w:t>. In contrast, f</w:t>
      </w:r>
      <w:r w:rsidRPr="003F14E0">
        <w:t>or terrestrial NB-IoT, the max. initial frequency offset ≈</w:t>
      </w:r>
      <w:r w:rsidR="008D022D">
        <w:t xml:space="preserve"> </w:t>
      </w:r>
      <w:r w:rsidRPr="003F14E0">
        <w:t xml:space="preserve">(20 </w:t>
      </w:r>
      <w:r w:rsidR="008D022D" w:rsidRPr="003F14E0">
        <w:rPr>
          <w:rFonts w:ascii="Cambria Math" w:hAnsi="Cambria Math" w:cs="Cambria Math"/>
        </w:rPr>
        <w:t>𝑝𝑝𝑚</w:t>
      </w:r>
      <w:r w:rsidR="008D022D" w:rsidRPr="003F14E0">
        <w:t>) ×</w:t>
      </w:r>
      <w:r w:rsidR="008D022D">
        <w:t xml:space="preserve"> </w:t>
      </w:r>
      <w:r w:rsidRPr="003F14E0">
        <w:t>(0.9×10^9)</w:t>
      </w:r>
      <w:r w:rsidR="008D022D">
        <w:t xml:space="preserve"> </w:t>
      </w:r>
      <w:r w:rsidRPr="003F14E0">
        <w:t>+</w:t>
      </w:r>
      <w:r w:rsidR="008D022D">
        <w:t xml:space="preserve"> </w:t>
      </w:r>
      <w:r w:rsidRPr="003F14E0">
        <w:t>(7.5×10^3)</w:t>
      </w:r>
      <w:r w:rsidR="008D022D">
        <w:t xml:space="preserve"> </w:t>
      </w:r>
      <w:r w:rsidRPr="003F14E0">
        <w:t xml:space="preserve">=25.5 </w:t>
      </w:r>
      <w:r w:rsidRPr="003F14E0">
        <w:rPr>
          <w:rFonts w:ascii="Cambria Math" w:hAnsi="Cambria Math" w:cs="Cambria Math"/>
        </w:rPr>
        <w:t>𝑘𝐻𝑧</w:t>
      </w:r>
      <w:r w:rsidR="00BA6CD3">
        <w:rPr>
          <w:rFonts w:ascii="Cambria Math" w:hAnsi="Cambria Math" w:cs="Cambria Math"/>
        </w:rPr>
        <w:t>. Further, in NTN, t</w:t>
      </w:r>
      <w:r w:rsidRPr="003F14E0">
        <w:t>here may be additional frequency offsets (FOs) due to satellite movement</w:t>
      </w:r>
      <w:r w:rsidR="009227A4">
        <w:t>. As a combined result</w:t>
      </w:r>
      <w:r w:rsidRPr="003F14E0">
        <w:t xml:space="preserve">, the UE may lock on to an incorrect </w:t>
      </w:r>
      <w:proofErr w:type="spellStart"/>
      <w:r w:rsidRPr="003F14E0">
        <w:t>Ncell</w:t>
      </w:r>
      <w:proofErr w:type="spellEnd"/>
      <w:r w:rsidRPr="003F14E0">
        <w:t xml:space="preserve"> frequency</w:t>
      </w:r>
      <w:r w:rsidR="009227A4">
        <w:t xml:space="preserve"> (by up to 100 kHz), as shown in </w:t>
      </w:r>
      <w:r w:rsidR="004F25FD">
        <w:t>Fig. 1</w:t>
      </w:r>
      <w:r w:rsidR="009227A4">
        <w:t xml:space="preserve"> below</w:t>
      </w:r>
      <w:r w:rsidR="0079595B">
        <w:t>.</w:t>
      </w:r>
    </w:p>
    <w:p w14:paraId="3CAA2536" w14:textId="77777777" w:rsidR="0040494C" w:rsidRDefault="00262FFA" w:rsidP="0040494C">
      <w:pPr>
        <w:keepNext/>
        <w:jc w:val="center"/>
      </w:pPr>
      <w:r>
        <w:rPr>
          <w:noProof/>
        </w:rPr>
        <w:drawing>
          <wp:inline distT="0" distB="0" distL="0" distR="0" wp14:anchorId="13E62451" wp14:editId="3E600CAD">
            <wp:extent cx="3470641" cy="2337757"/>
            <wp:effectExtent l="0" t="0" r="0" b="5715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st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385" cy="2346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67C07" w14:textId="5D7608AF" w:rsidR="00262FFA" w:rsidRDefault="0040494C" w:rsidP="0040494C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1</w:t>
      </w:r>
      <w:r w:rsidR="003216E0">
        <w:rPr>
          <w:noProof/>
        </w:rPr>
        <w:fldChar w:fldCharType="end"/>
      </w:r>
      <w:r>
        <w:t xml:space="preserve">: Illustration of UE estimating an incorrect frequency corresponding to a </w:t>
      </w:r>
      <w:proofErr w:type="spellStart"/>
      <w:r>
        <w:t>Ncell</w:t>
      </w:r>
      <w:proofErr w:type="spellEnd"/>
      <w:r>
        <w:t>.</w:t>
      </w:r>
    </w:p>
    <w:p w14:paraId="15690C76" w14:textId="20A45D54" w:rsidR="0079595B" w:rsidRPr="00F2289D" w:rsidRDefault="0079595B" w:rsidP="003F14E0">
      <w:pPr>
        <w:rPr>
          <w:b/>
          <w:bCs/>
        </w:rPr>
      </w:pPr>
      <w:r w:rsidRPr="00F2289D">
        <w:rPr>
          <w:b/>
          <w:bCs/>
          <w:i/>
          <w:iCs/>
          <w:u w:val="single"/>
        </w:rPr>
        <w:t>Observation</w:t>
      </w:r>
      <w:r w:rsidR="00264BDF">
        <w:rPr>
          <w:b/>
          <w:bCs/>
          <w:i/>
          <w:iCs/>
          <w:u w:val="single"/>
        </w:rPr>
        <w:t xml:space="preserve"> 1</w:t>
      </w:r>
      <w:r w:rsidRPr="00F2289D">
        <w:rPr>
          <w:b/>
          <w:bCs/>
        </w:rPr>
        <w:t xml:space="preserve">: </w:t>
      </w:r>
      <w:r w:rsidR="00E958E3" w:rsidRPr="00F2289D">
        <w:rPr>
          <w:b/>
          <w:bCs/>
        </w:rPr>
        <w:t xml:space="preserve">In S-band frequencies, the frequency error during initial </w:t>
      </w:r>
      <w:r w:rsidR="002500D0" w:rsidRPr="00F2289D">
        <w:rPr>
          <w:b/>
          <w:bCs/>
        </w:rPr>
        <w:t>downlink synchronization (initial cell access)</w:t>
      </w:r>
      <w:r w:rsidR="002162F8" w:rsidRPr="00F2289D">
        <w:rPr>
          <w:b/>
          <w:bCs/>
        </w:rPr>
        <w:t xml:space="preserve"> can be up to 47.5 kHz +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doppler</m:t>
            </m:r>
          </m:sub>
        </m:sSub>
      </m:oMath>
      <w:r w:rsidR="00F2289D" w:rsidRPr="00F2289D">
        <w:rPr>
          <w:b/>
          <w:bCs/>
        </w:rPr>
        <w:t>.</w:t>
      </w:r>
    </w:p>
    <w:p w14:paraId="10A1D084" w14:textId="318E0AEA" w:rsidR="00F2289D" w:rsidRDefault="00230057" w:rsidP="003F14E0">
      <w:r>
        <w:t xml:space="preserve">In order to mitigate the above possibility of </w:t>
      </w:r>
      <w:r w:rsidR="00595973">
        <w:t>a</w:t>
      </w:r>
      <w:r>
        <w:t xml:space="preserve"> UE locking on to a</w:t>
      </w:r>
      <w:r w:rsidR="0064384F">
        <w:t xml:space="preserve">n incorrect </w:t>
      </w:r>
      <w:r w:rsidR="00595973">
        <w:t xml:space="preserve">(N)cell </w:t>
      </w:r>
      <w:r w:rsidR="0064384F">
        <w:t>frequency, RAN1 may need to consider solutions</w:t>
      </w:r>
      <w:r w:rsidR="006530FE">
        <w:t xml:space="preserve"> that resolve this issue.</w:t>
      </w:r>
      <w:r w:rsidR="00C7266E">
        <w:t xml:space="preserve"> Examples of solutions include increasing the raster </w:t>
      </w:r>
      <w:r w:rsidR="005E55F7">
        <w:t xml:space="preserve">size from 100 kHz, including a portion of the Absolute Radio Frequency Channel Number (ARFCN) in the </w:t>
      </w:r>
      <w:r w:rsidR="00595973">
        <w:t>(</w:t>
      </w:r>
      <w:r w:rsidR="005E55F7">
        <w:t>NB-</w:t>
      </w:r>
      <w:r w:rsidR="00595973">
        <w:t>)</w:t>
      </w:r>
      <w:r w:rsidR="005E55F7">
        <w:t>MIB, and the like.</w:t>
      </w:r>
    </w:p>
    <w:p w14:paraId="7BC79D6F" w14:textId="702DC0C5" w:rsidR="00C15973" w:rsidRDefault="006530FE" w:rsidP="00C15973">
      <w:pPr>
        <w:rPr>
          <w:b/>
          <w:bCs/>
        </w:rPr>
      </w:pPr>
      <w:r w:rsidRPr="00B73FDF">
        <w:rPr>
          <w:b/>
          <w:bCs/>
          <w:i/>
          <w:iCs/>
          <w:u w:val="single"/>
        </w:rPr>
        <w:t>Proposal</w:t>
      </w:r>
      <w:r w:rsidR="00264BDF">
        <w:rPr>
          <w:b/>
          <w:bCs/>
          <w:i/>
          <w:iCs/>
          <w:u w:val="single"/>
        </w:rPr>
        <w:t xml:space="preserve"> 1</w:t>
      </w:r>
      <w:r w:rsidRPr="00B73FDF">
        <w:rPr>
          <w:b/>
          <w:bCs/>
        </w:rPr>
        <w:t xml:space="preserve">: RAN1 to </w:t>
      </w:r>
      <w:r w:rsidR="0046275D">
        <w:rPr>
          <w:b/>
          <w:bCs/>
        </w:rPr>
        <w:t>study</w:t>
      </w:r>
      <w:r w:rsidRPr="00B73FDF">
        <w:rPr>
          <w:b/>
          <w:bCs/>
        </w:rPr>
        <w:t xml:space="preserve"> </w:t>
      </w:r>
      <w:r w:rsidR="00B73FDF" w:rsidRPr="00B73FDF">
        <w:rPr>
          <w:b/>
          <w:bCs/>
        </w:rPr>
        <w:t xml:space="preserve">enhancements to prevent </w:t>
      </w:r>
      <w:proofErr w:type="gramStart"/>
      <w:r w:rsidR="00B73FDF" w:rsidRPr="00B73FDF">
        <w:rPr>
          <w:b/>
          <w:bCs/>
        </w:rPr>
        <w:t>an</w:t>
      </w:r>
      <w:proofErr w:type="gramEnd"/>
      <w:r w:rsidR="00B73FDF" w:rsidRPr="00B73FDF">
        <w:rPr>
          <w:b/>
          <w:bCs/>
        </w:rPr>
        <w:t xml:space="preserve"> UE from locking on to an incorrect frequency corresponding to a </w:t>
      </w:r>
      <w:r w:rsidR="00595973">
        <w:rPr>
          <w:b/>
          <w:bCs/>
        </w:rPr>
        <w:t>(</w:t>
      </w:r>
      <w:r w:rsidR="00B73FDF" w:rsidRPr="00B73FDF">
        <w:rPr>
          <w:b/>
          <w:bCs/>
        </w:rPr>
        <w:t>N</w:t>
      </w:r>
      <w:r w:rsidR="00595973">
        <w:rPr>
          <w:b/>
          <w:bCs/>
        </w:rPr>
        <w:t>)</w:t>
      </w:r>
      <w:r w:rsidR="00B73FDF" w:rsidRPr="00B73FDF">
        <w:rPr>
          <w:b/>
          <w:bCs/>
        </w:rPr>
        <w:t>cell</w:t>
      </w:r>
      <w:r w:rsidR="00505979">
        <w:rPr>
          <w:b/>
          <w:bCs/>
        </w:rPr>
        <w:t xml:space="preserve">, such as increasing the raster size, or including a portion of the ARFCN in the </w:t>
      </w:r>
      <w:r w:rsidR="00595973">
        <w:rPr>
          <w:b/>
          <w:bCs/>
        </w:rPr>
        <w:t>(</w:t>
      </w:r>
      <w:r w:rsidR="00505979">
        <w:rPr>
          <w:b/>
          <w:bCs/>
        </w:rPr>
        <w:t>NB-</w:t>
      </w:r>
      <w:r w:rsidR="00595973">
        <w:rPr>
          <w:b/>
          <w:bCs/>
        </w:rPr>
        <w:t>)</w:t>
      </w:r>
      <w:r w:rsidR="00505979">
        <w:rPr>
          <w:b/>
          <w:bCs/>
        </w:rPr>
        <w:t>MIB.</w:t>
      </w:r>
    </w:p>
    <w:p w14:paraId="18A7FA2B" w14:textId="15ED410A" w:rsidR="003907A8" w:rsidRDefault="0015697F" w:rsidP="003907A8">
      <w:pPr>
        <w:pStyle w:val="Style2"/>
        <w:numPr>
          <w:ilvl w:val="1"/>
          <w:numId w:val="1"/>
        </w:numPr>
      </w:pPr>
      <w:r>
        <w:t>Deployment modes and NPBCH RE mapping</w:t>
      </w:r>
    </w:p>
    <w:p w14:paraId="27132677" w14:textId="084E6301" w:rsidR="00505979" w:rsidRDefault="00505979" w:rsidP="00C15973">
      <w:pPr>
        <w:rPr>
          <w:b/>
          <w:bCs/>
        </w:rPr>
      </w:pPr>
    </w:p>
    <w:p w14:paraId="6677E96A" w14:textId="1B77948E" w:rsidR="005A312F" w:rsidRDefault="00702EB8" w:rsidP="00C15973">
      <w:r w:rsidRPr="00702EB8">
        <w:t>As discussed</w:t>
      </w:r>
      <w:r>
        <w:t xml:space="preserve"> in our </w:t>
      </w:r>
      <w:r w:rsidR="00E670D8">
        <w:t>contribution on applicable scenarios [2]</w:t>
      </w:r>
      <w:r w:rsidR="0040494C">
        <w:t xml:space="preserve">, </w:t>
      </w:r>
      <w:r w:rsidR="004E26B2">
        <w:t>we think NB-IoT over NTN should support a standalone as well as in-band/guard-band of NR mode, and specifically, not support an in-band with LTE mode.</w:t>
      </w:r>
      <w:r w:rsidR="00AF71CE">
        <w:t xml:space="preserve"> In this setting, due to NR not having the “always on” CRS and PDCCH control region, </w:t>
      </w:r>
      <w:r w:rsidR="005A312F">
        <w:t>we can map the NPBCH to a larger set of R</w:t>
      </w:r>
      <w:r w:rsidR="002424FF">
        <w:t>E</w:t>
      </w:r>
      <w:r w:rsidR="005A312F">
        <w:t xml:space="preserve">s, thereby improving coverage by </w:t>
      </w:r>
      <m:oMath>
        <m:r>
          <w:rPr>
            <w:rFonts w:ascii="Cambria Math" w:hAnsi="Cambria Math"/>
          </w:rPr>
          <m:t>1.81 dB</m:t>
        </m:r>
      </m:oMath>
      <w:r w:rsidR="005A312F">
        <w:t xml:space="preserve">, as shown in </w:t>
      </w:r>
      <w:r w:rsidR="00610DC9">
        <w:t>Fig. 2</w:t>
      </w:r>
      <w:r w:rsidR="005A312F">
        <w:t>.</w:t>
      </w:r>
    </w:p>
    <w:p w14:paraId="57A3125F" w14:textId="62F83478" w:rsidR="007F72E4" w:rsidRDefault="007F72E4" w:rsidP="007F72E4">
      <w:r w:rsidRPr="002424FF">
        <w:rPr>
          <w:b/>
          <w:bCs/>
          <w:i/>
          <w:iCs/>
          <w:u w:val="single"/>
        </w:rPr>
        <w:t>Proposal</w:t>
      </w:r>
      <w:r w:rsidR="00264BDF">
        <w:rPr>
          <w:b/>
          <w:bCs/>
          <w:i/>
          <w:iCs/>
          <w:u w:val="single"/>
        </w:rPr>
        <w:t xml:space="preserve"> 2</w:t>
      </w:r>
      <w:r>
        <w:t xml:space="preserve">:  </w:t>
      </w:r>
      <w:r w:rsidRPr="005B0A3D">
        <w:rPr>
          <w:b/>
          <w:bCs/>
        </w:rPr>
        <w:t>Support NB-IoT over NTN in standalone and in-band/guard-band with NR modes only.</w:t>
      </w:r>
    </w:p>
    <w:p w14:paraId="2A157063" w14:textId="49BD7747" w:rsidR="007F72E4" w:rsidRPr="007F72E4" w:rsidRDefault="007F72E4" w:rsidP="00C15973">
      <w:pPr>
        <w:rPr>
          <w:b/>
          <w:bCs/>
        </w:rPr>
      </w:pPr>
      <w:r w:rsidRPr="005B0A3D">
        <w:rPr>
          <w:b/>
          <w:bCs/>
          <w:i/>
          <w:iCs/>
          <w:u w:val="single"/>
        </w:rPr>
        <w:t>Proposal</w:t>
      </w:r>
      <w:r w:rsidR="00264BDF">
        <w:rPr>
          <w:b/>
          <w:bCs/>
          <w:i/>
          <w:iCs/>
          <w:u w:val="single"/>
        </w:rPr>
        <w:t xml:space="preserve"> 3</w:t>
      </w:r>
      <w:r w:rsidRPr="005B0A3D">
        <w:rPr>
          <w:b/>
          <w:bCs/>
        </w:rPr>
        <w:t xml:space="preserve">: Include the first three symbols in a subframe as well as the REs corresponding to the 4 CRS ports for rate matching the NPBCH. </w:t>
      </w:r>
    </w:p>
    <w:p w14:paraId="5B25429F" w14:textId="77777777" w:rsidR="00005C95" w:rsidRDefault="007F72E4" w:rsidP="00005C9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F8C920A" wp14:editId="41E52247">
            <wp:extent cx="2199319" cy="2908390"/>
            <wp:effectExtent l="0" t="0" r="0" b="6350"/>
            <wp:docPr id="19" name="Picture 19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NBPCH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071" cy="2953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EC15D" w14:textId="21BF1AD9" w:rsidR="005B0A3D" w:rsidRDefault="00005C95" w:rsidP="00005C95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2</w:t>
      </w:r>
      <w:r w:rsidR="003216E0">
        <w:rPr>
          <w:noProof/>
        </w:rPr>
        <w:fldChar w:fldCharType="end"/>
      </w:r>
      <w:r>
        <w:t>: Current time-frequency structure</w:t>
      </w:r>
      <w:r w:rsidR="001B1B3A">
        <w:t xml:space="preserve"> of an NPBCH subframe</w:t>
      </w:r>
      <w:r w:rsidR="004A772F">
        <w:t>.</w:t>
      </w:r>
    </w:p>
    <w:p w14:paraId="0DE65A93" w14:textId="43986536" w:rsidR="00BA77E3" w:rsidRDefault="00BA77E3" w:rsidP="00BA77E3">
      <w:pPr>
        <w:pStyle w:val="Style2"/>
        <w:numPr>
          <w:ilvl w:val="1"/>
          <w:numId w:val="1"/>
        </w:numPr>
      </w:pPr>
      <w:r>
        <w:t>Uplink synchronization</w:t>
      </w:r>
    </w:p>
    <w:p w14:paraId="7F086D9E" w14:textId="486FAD65" w:rsidR="007C0C7E" w:rsidRDefault="007C0C7E" w:rsidP="007C0C7E">
      <w:pPr>
        <w:rPr>
          <w:lang w:val="en-US"/>
        </w:rPr>
      </w:pPr>
    </w:p>
    <w:p w14:paraId="7F5BE14A" w14:textId="524AC8BF" w:rsidR="00BA77E3" w:rsidRDefault="00BA77E3" w:rsidP="007C0C7E">
      <w:pPr>
        <w:rPr>
          <w:lang w:val="en-US"/>
        </w:rPr>
      </w:pPr>
      <w:r>
        <w:rPr>
          <w:lang w:val="en-US"/>
        </w:rPr>
        <w:t xml:space="preserve">As described in </w:t>
      </w:r>
      <w:r w:rsidR="001839D7">
        <w:rPr>
          <w:lang w:val="en-US"/>
        </w:rPr>
        <w:t xml:space="preserve">our contribution on scenarios applicable to </w:t>
      </w:r>
      <w:proofErr w:type="spellStart"/>
      <w:r w:rsidR="001839D7">
        <w:rPr>
          <w:lang w:val="en-US"/>
        </w:rPr>
        <w:t>eMTC</w:t>
      </w:r>
      <w:proofErr w:type="spellEnd"/>
      <w:r w:rsidR="001839D7">
        <w:rPr>
          <w:lang w:val="en-US"/>
        </w:rPr>
        <w:t xml:space="preserve">/NB-IoT over NTN [2], </w:t>
      </w:r>
      <w:r w:rsidR="00480C10">
        <w:rPr>
          <w:lang w:val="en-US"/>
        </w:rPr>
        <w:t xml:space="preserve">the initial time and frequency offsets for uplink synchronization are </w:t>
      </w:r>
      <w:r w:rsidR="00FA4CAA">
        <w:rPr>
          <w:lang w:val="en-US"/>
        </w:rPr>
        <w:t xml:space="preserve">directly related to the accuracy of the satellite location that is available at the UE. </w:t>
      </w:r>
      <w:r w:rsidR="00FB7C76">
        <w:rPr>
          <w:lang w:val="en-US"/>
        </w:rPr>
        <w:t xml:space="preserve">Depending on the </w:t>
      </w:r>
      <w:r w:rsidR="003B2922">
        <w:rPr>
          <w:lang w:val="en-US"/>
        </w:rPr>
        <w:t xml:space="preserve">agreements reached on the accuracy that a UE can achieve—including </w:t>
      </w:r>
      <w:r w:rsidR="00321A89">
        <w:rPr>
          <w:lang w:val="en-US"/>
        </w:rPr>
        <w:t>agreements on the frequency of system information reads that are required to facilitate that accuracy</w:t>
      </w:r>
      <w:r w:rsidR="007D461B">
        <w:rPr>
          <w:lang w:val="en-US"/>
        </w:rPr>
        <w:t xml:space="preserve">—we will need to </w:t>
      </w:r>
      <w:r w:rsidR="008744D8">
        <w:rPr>
          <w:lang w:val="en-US"/>
        </w:rPr>
        <w:t>study whether enhancements are required for PRACH, to support larger time and frequency offsets.</w:t>
      </w:r>
    </w:p>
    <w:p w14:paraId="17D33C78" w14:textId="00687E8D" w:rsidR="00A45914" w:rsidRPr="00900B1E" w:rsidRDefault="00A45914" w:rsidP="007C0C7E">
      <w:pPr>
        <w:rPr>
          <w:b/>
          <w:bCs/>
          <w:lang w:val="en-US"/>
        </w:rPr>
      </w:pPr>
      <w:r w:rsidRPr="00900B1E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4</w:t>
      </w:r>
      <w:r w:rsidRPr="00900B1E">
        <w:rPr>
          <w:b/>
          <w:bCs/>
          <w:lang w:val="en-US"/>
        </w:rPr>
        <w:t xml:space="preserve">: RAN1 to study potential enhancements to </w:t>
      </w:r>
      <w:r w:rsidR="00595973">
        <w:rPr>
          <w:b/>
          <w:bCs/>
          <w:lang w:val="en-US"/>
        </w:rPr>
        <w:t>(N)</w:t>
      </w:r>
      <w:r w:rsidRPr="00900B1E">
        <w:rPr>
          <w:b/>
          <w:bCs/>
          <w:lang w:val="en-US"/>
        </w:rPr>
        <w:t xml:space="preserve">PRACH design, depending on the agreements on </w:t>
      </w:r>
      <w:r w:rsidR="000C6FD1" w:rsidRPr="00900B1E">
        <w:rPr>
          <w:b/>
          <w:bCs/>
          <w:lang w:val="en-US"/>
        </w:rPr>
        <w:t xml:space="preserve">satellite location </w:t>
      </w:r>
      <w:r w:rsidR="00900B1E" w:rsidRPr="00900B1E">
        <w:rPr>
          <w:b/>
          <w:bCs/>
          <w:lang w:val="en-US"/>
        </w:rPr>
        <w:t xml:space="preserve">accuracy at the UE </w:t>
      </w:r>
      <w:r w:rsidR="000C6FD1" w:rsidRPr="00900B1E">
        <w:rPr>
          <w:b/>
          <w:bCs/>
          <w:lang w:val="en-US"/>
        </w:rPr>
        <w:t>(including the frequency of SIB reads required to facilitate that accuracy)</w:t>
      </w:r>
      <w:r w:rsidR="00900B1E" w:rsidRPr="00900B1E">
        <w:rPr>
          <w:b/>
          <w:bCs/>
          <w:lang w:val="en-US"/>
        </w:rPr>
        <w:t>.</w:t>
      </w:r>
    </w:p>
    <w:p w14:paraId="533D8C9F" w14:textId="31A44F2A" w:rsidR="009467F5" w:rsidRPr="009467F5" w:rsidRDefault="00E03FCE" w:rsidP="009467F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Cell Planning and Mobility</w:t>
      </w:r>
    </w:p>
    <w:p w14:paraId="435A1658" w14:textId="7A0774C6" w:rsidR="009467F5" w:rsidRDefault="009467F5" w:rsidP="009467F5">
      <w:pPr>
        <w:pStyle w:val="Style2"/>
        <w:numPr>
          <w:ilvl w:val="1"/>
          <w:numId w:val="1"/>
        </w:numPr>
      </w:pPr>
      <w:r>
        <w:t>Motivation</w:t>
      </w:r>
    </w:p>
    <w:p w14:paraId="0B17CC50" w14:textId="77777777" w:rsidR="00953207" w:rsidRPr="009467F5" w:rsidRDefault="00953207" w:rsidP="00953207"/>
    <w:p w14:paraId="6D8948B8" w14:textId="3B823189" w:rsidR="00866F78" w:rsidRDefault="004054D3" w:rsidP="004054D3">
      <w:r w:rsidRPr="004054D3">
        <w:t>In NTN, beams from the same satellite may use different frequencies</w:t>
      </w:r>
      <w:r>
        <w:t xml:space="preserve">. </w:t>
      </w:r>
      <w:r w:rsidRPr="004054D3">
        <w:t xml:space="preserve">The “beam footprint” may </w:t>
      </w:r>
      <w:r>
        <w:t xml:space="preserve">also </w:t>
      </w:r>
      <w:r w:rsidRPr="004054D3">
        <w:t>change over time (due to satellite mobility)</w:t>
      </w:r>
      <w:r>
        <w:t xml:space="preserve">. </w:t>
      </w:r>
      <w:r w:rsidR="00866F78">
        <w:t xml:space="preserve">This is particularly relevant for LEO satellites </w:t>
      </w:r>
      <w:r w:rsidR="00B40DA9">
        <w:t>that have non-steerable (fixed) beams.</w:t>
      </w:r>
    </w:p>
    <w:p w14:paraId="357E61D1" w14:textId="4A2E1726" w:rsidR="00D3097D" w:rsidRDefault="004054D3" w:rsidP="004054D3">
      <w:r w:rsidRPr="004054D3">
        <w:t xml:space="preserve">NB-IoT currently supports one “anchor carrier” (containing sync signals and SIBs) per </w:t>
      </w:r>
      <w:proofErr w:type="spellStart"/>
      <w:r w:rsidRPr="004054D3">
        <w:t>Ncell</w:t>
      </w:r>
      <w:proofErr w:type="spellEnd"/>
      <w:r w:rsidR="00866F78">
        <w:t xml:space="preserve">. </w:t>
      </w:r>
      <w:r w:rsidRPr="004054D3">
        <w:t xml:space="preserve">Without enhancements, a change in the best serving beam would always imply a cell reselection to another </w:t>
      </w:r>
      <w:proofErr w:type="spellStart"/>
      <w:r w:rsidRPr="004054D3">
        <w:t>Ncell</w:t>
      </w:r>
      <w:proofErr w:type="spellEnd"/>
      <w:r w:rsidR="00866F78">
        <w:t>.</w:t>
      </w:r>
      <w:r w:rsidR="00B40DA9">
        <w:t xml:space="preserve"> </w:t>
      </w:r>
      <w:r w:rsidRPr="004054D3">
        <w:t xml:space="preserve">Such frequent cell reselection </w:t>
      </w:r>
      <w:r w:rsidR="00B40DA9">
        <w:t>may</w:t>
      </w:r>
      <w:r w:rsidRPr="004054D3">
        <w:t xml:space="preserve"> not desirable due to increased UE power consumption from having to read new SIBs frequently</w:t>
      </w:r>
      <w:r w:rsidR="00B40DA9">
        <w:t>.</w:t>
      </w:r>
      <w:r w:rsidR="00FB1A4D">
        <w:t xml:space="preserve"> </w:t>
      </w:r>
      <w:r w:rsidRPr="004054D3">
        <w:t xml:space="preserve">Further, in </w:t>
      </w:r>
      <w:r w:rsidR="002E0ABA">
        <w:t>connected</w:t>
      </w:r>
      <w:r w:rsidRPr="004054D3">
        <w:t xml:space="preserve"> mode, the UE may go through frequent Radio Link Failures (RLFs)</w:t>
      </w:r>
      <w:r w:rsidR="00CB704C">
        <w:t xml:space="preserve"> (w</w:t>
      </w:r>
      <w:r w:rsidR="00FB1A4D">
        <w:t xml:space="preserve">e note that </w:t>
      </w:r>
      <w:r w:rsidRPr="004054D3">
        <w:t>NB-IoT does not support measurements in connected mode</w:t>
      </w:r>
      <w:r w:rsidR="00CB704C">
        <w:t>)</w:t>
      </w:r>
      <w:r w:rsidR="00FB1A4D">
        <w:t>.</w:t>
      </w:r>
    </w:p>
    <w:p w14:paraId="1F24E538" w14:textId="478096ED" w:rsidR="00CB704C" w:rsidRDefault="00CB704C" w:rsidP="004054D3">
      <w:r>
        <w:t xml:space="preserve">Similarly, in </w:t>
      </w:r>
      <w:proofErr w:type="spellStart"/>
      <w:r>
        <w:t>eMTC</w:t>
      </w:r>
      <w:proofErr w:type="spellEnd"/>
      <w:r>
        <w:t xml:space="preserve">, the concept of a cell may be extended to cover multiple beams, e.g., by having a copy of the </w:t>
      </w:r>
      <w:r w:rsidR="00483468">
        <w:t>centre</w:t>
      </w:r>
      <w:r>
        <w:t xml:space="preserve"> 6 PRBs in each satellite beam comprising the cell</w:t>
      </w:r>
      <w:r w:rsidR="00483468">
        <w:t>, and there being “narrowband groups” across different satellite beams in the cell</w:t>
      </w:r>
      <w:r>
        <w:t xml:space="preserve">. </w:t>
      </w:r>
    </w:p>
    <w:p w14:paraId="159EE146" w14:textId="109DEF92" w:rsidR="00537332" w:rsidRDefault="00537332" w:rsidP="004054D3">
      <w:pPr>
        <w:rPr>
          <w:b/>
          <w:bCs/>
        </w:rPr>
      </w:pPr>
      <w:r w:rsidRPr="00C262A2">
        <w:rPr>
          <w:b/>
          <w:bCs/>
          <w:i/>
          <w:iCs/>
          <w:u w:val="single"/>
        </w:rPr>
        <w:t>Observation</w:t>
      </w:r>
      <w:r w:rsidR="00264BDF">
        <w:rPr>
          <w:b/>
          <w:bCs/>
          <w:i/>
          <w:iCs/>
          <w:u w:val="single"/>
        </w:rPr>
        <w:t xml:space="preserve"> 2</w:t>
      </w:r>
      <w:r w:rsidRPr="00C262A2">
        <w:rPr>
          <w:b/>
          <w:bCs/>
        </w:rPr>
        <w:t xml:space="preserve">: Over LEO satellites with non-steerable beams, </w:t>
      </w:r>
      <w:r w:rsidR="00C262A2" w:rsidRPr="00C262A2">
        <w:rPr>
          <w:b/>
          <w:bCs/>
        </w:rPr>
        <w:t>a serving beam change would always imply a serving cell change, without additional enhancements.</w:t>
      </w:r>
    </w:p>
    <w:p w14:paraId="12E1729E" w14:textId="2430A857" w:rsidR="001E0B5B" w:rsidRDefault="001E0B5B" w:rsidP="001E0B5B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This would result in frequent SIB reads for IDLE cell reselection</w:t>
      </w:r>
      <w:r w:rsidR="00FA3D40">
        <w:rPr>
          <w:b/>
          <w:bCs/>
        </w:rPr>
        <w:t>, and frequent RLFs</w:t>
      </w:r>
      <w:r w:rsidR="00595973" w:rsidRPr="0059466F">
        <w:rPr>
          <w:b/>
          <w:bCs/>
        </w:rPr>
        <w:t>/handovers</w:t>
      </w:r>
      <w:r w:rsidR="00FA3D40" w:rsidRPr="0059466F">
        <w:rPr>
          <w:b/>
          <w:bCs/>
        </w:rPr>
        <w:t xml:space="preserve"> </w:t>
      </w:r>
      <w:r w:rsidR="00FA3D40">
        <w:rPr>
          <w:b/>
          <w:bCs/>
        </w:rPr>
        <w:t>in connected mode.</w:t>
      </w:r>
    </w:p>
    <w:p w14:paraId="5B940309" w14:textId="19B5FEE9" w:rsidR="00983CCC" w:rsidRDefault="00A06DC4" w:rsidP="00983CC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600E71D" wp14:editId="5FDBCAB0">
            <wp:extent cx="2025957" cy="2681412"/>
            <wp:effectExtent l="0" t="0" r="0" b="5080"/>
            <wp:docPr id="21" name="Picture 2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ellPlanning_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619" cy="273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E74AE" w14:textId="35F81442" w:rsidR="00FB1A4D" w:rsidRDefault="00983CCC" w:rsidP="00983CCC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3</w:t>
      </w:r>
      <w:r w:rsidR="003216E0">
        <w:rPr>
          <w:noProof/>
        </w:rPr>
        <w:fldChar w:fldCharType="end"/>
      </w:r>
      <w:r>
        <w:t xml:space="preserve">: </w:t>
      </w:r>
      <w:r w:rsidRPr="00CD6F33">
        <w:t xml:space="preserve">Beam footprint of a (moving) satellite over a geographical area </w:t>
      </w:r>
      <w:r w:rsidRPr="00CD6F33">
        <w:rPr>
          <w:rFonts w:ascii="Cambria Math" w:hAnsi="Cambria Math" w:cs="Cambria Math"/>
        </w:rPr>
        <w:t>𝐴</w:t>
      </w:r>
      <w:r w:rsidRPr="00CD6F33">
        <w:t>, at a given snapshot in time</w:t>
      </w:r>
    </w:p>
    <w:p w14:paraId="092DE798" w14:textId="77777777" w:rsidR="009467F5" w:rsidRPr="009467F5" w:rsidRDefault="009467F5" w:rsidP="009467F5">
      <w:pPr>
        <w:rPr>
          <w:lang w:val="en-US"/>
        </w:rPr>
      </w:pPr>
    </w:p>
    <w:p w14:paraId="431C766D" w14:textId="347F6908" w:rsidR="009467F5" w:rsidRDefault="009467F5" w:rsidP="00A91281">
      <w:pPr>
        <w:pStyle w:val="Style2"/>
        <w:numPr>
          <w:ilvl w:val="1"/>
          <w:numId w:val="1"/>
        </w:numPr>
      </w:pPr>
      <w:proofErr w:type="spellStart"/>
      <w:r>
        <w:t>Ncell</w:t>
      </w:r>
      <w:proofErr w:type="spellEnd"/>
      <w:r>
        <w:t xml:space="preserve"> with multiple anchor carriers</w:t>
      </w:r>
    </w:p>
    <w:p w14:paraId="16ED3379" w14:textId="77777777" w:rsidR="00953207" w:rsidRPr="009467F5" w:rsidRDefault="00953207" w:rsidP="00953207"/>
    <w:p w14:paraId="38A6003A" w14:textId="02EB9769" w:rsidR="00E37D8F" w:rsidRDefault="00E37D8F" w:rsidP="00E37D8F">
      <w:r w:rsidRPr="00764301">
        <w:t xml:space="preserve">To mitigate the above issues, as a first step, we propose a </w:t>
      </w:r>
      <w:proofErr w:type="spellStart"/>
      <w:r w:rsidRPr="00764301">
        <w:t>Ncell</w:t>
      </w:r>
      <w:proofErr w:type="spellEnd"/>
      <w:r w:rsidRPr="00764301">
        <w:t xml:space="preserve"> to comprise multiple satellite beams, with one anchor carrier in each “carrier group” within a satellite beam. This proposal implies NB-IoT providing support for multiple anchor carriers in a </w:t>
      </w:r>
      <w:proofErr w:type="spellStart"/>
      <w:r w:rsidRPr="00764301">
        <w:t>Ncell</w:t>
      </w:r>
      <w:proofErr w:type="spellEnd"/>
      <w:r>
        <w:t xml:space="preserve">. </w:t>
      </w:r>
    </w:p>
    <w:p w14:paraId="5A8988F7" w14:textId="3C14483F" w:rsidR="00A02592" w:rsidRDefault="00905BDA" w:rsidP="00A02592">
      <w:pPr>
        <w:pStyle w:val="Style2"/>
        <w:numPr>
          <w:ilvl w:val="2"/>
          <w:numId w:val="1"/>
        </w:numPr>
      </w:pPr>
      <w:r>
        <w:t>IDLE mode beam reselection</w:t>
      </w:r>
    </w:p>
    <w:p w14:paraId="3C805773" w14:textId="77777777" w:rsidR="00953207" w:rsidRDefault="00953207" w:rsidP="00953207"/>
    <w:p w14:paraId="2EC7939F" w14:textId="6ED45227" w:rsidR="00387099" w:rsidRDefault="00387099" w:rsidP="00387099">
      <w:r>
        <w:t>With this arrangement, a</w:t>
      </w:r>
      <w:r w:rsidRPr="00387099">
        <w:t xml:space="preserve">cross “carrier groups” within the same </w:t>
      </w:r>
      <w:proofErr w:type="spellStart"/>
      <w:r w:rsidRPr="00387099">
        <w:t>Ncell</w:t>
      </w:r>
      <w:proofErr w:type="spellEnd"/>
      <w:r w:rsidRPr="00387099">
        <w:t xml:space="preserve">, IDLE mode satellite beam reselection </w:t>
      </w:r>
      <w:r w:rsidR="003F60AF">
        <w:t xml:space="preserve">may be supported </w:t>
      </w:r>
      <w:r w:rsidRPr="00387099">
        <w:t>without needing to perform a full SI read</w:t>
      </w:r>
      <w:r w:rsidR="003F60AF">
        <w:t xml:space="preserve">. This may be facilitated via </w:t>
      </w:r>
      <w:r w:rsidRPr="00387099">
        <w:t xml:space="preserve">SIBs </w:t>
      </w:r>
      <w:r w:rsidR="003F60AF">
        <w:t xml:space="preserve">that </w:t>
      </w:r>
      <w:r w:rsidRPr="00387099">
        <w:t xml:space="preserve">may be common </w:t>
      </w:r>
      <w:r w:rsidR="003F60AF">
        <w:t>across</w:t>
      </w:r>
      <w:r w:rsidRPr="00387099">
        <w:t xml:space="preserve"> different carrier groups for the same </w:t>
      </w:r>
      <w:proofErr w:type="spellStart"/>
      <w:r w:rsidRPr="00387099">
        <w:t>Ncell</w:t>
      </w:r>
      <w:proofErr w:type="spellEnd"/>
      <w:r w:rsidR="00EF4C3F">
        <w:t>. As a result, b</w:t>
      </w:r>
      <w:r w:rsidRPr="00387099">
        <w:t xml:space="preserve">y accessing any anchor carrier in the </w:t>
      </w:r>
      <w:proofErr w:type="spellStart"/>
      <w:r w:rsidRPr="00387099">
        <w:t>Ncell</w:t>
      </w:r>
      <w:proofErr w:type="spellEnd"/>
      <w:r w:rsidRPr="00387099">
        <w:t xml:space="preserve">, the UE can determine the SIBs and other carrier locations for the </w:t>
      </w:r>
      <w:proofErr w:type="spellStart"/>
      <w:r w:rsidRPr="00387099">
        <w:t>Ncell</w:t>
      </w:r>
      <w:proofErr w:type="spellEnd"/>
      <w:r w:rsidRPr="00387099">
        <w:t>, for easier future reselection</w:t>
      </w:r>
      <w:r w:rsidR="00EF4C3F">
        <w:t>.</w:t>
      </w:r>
    </w:p>
    <w:p w14:paraId="435D5509" w14:textId="77777777" w:rsidR="009423AD" w:rsidRDefault="00867677" w:rsidP="009423AD">
      <w:pPr>
        <w:keepNext/>
        <w:jc w:val="center"/>
      </w:pPr>
      <w:r>
        <w:rPr>
          <w:noProof/>
        </w:rPr>
        <w:drawing>
          <wp:inline distT="0" distB="0" distL="0" distR="0" wp14:anchorId="25A4D554" wp14:editId="4A58EE95">
            <wp:extent cx="3583941" cy="1396629"/>
            <wp:effectExtent l="0" t="0" r="0" b="0"/>
            <wp:docPr id="22" name="Picture 2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ellPlanning_IDLE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946" cy="141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09C4D" w14:textId="4B0EA782" w:rsidR="00EF4C3F" w:rsidRDefault="009423AD" w:rsidP="009423AD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4</w:t>
      </w:r>
      <w:r w:rsidR="003216E0">
        <w:rPr>
          <w:noProof/>
        </w:rPr>
        <w:fldChar w:fldCharType="end"/>
      </w:r>
      <w:r>
        <w:t xml:space="preserve">: </w:t>
      </w:r>
      <w:r w:rsidR="002A30DB">
        <w:t>A</w:t>
      </w:r>
      <w:r>
        <w:t xml:space="preserve"> </w:t>
      </w:r>
      <w:proofErr w:type="spellStart"/>
      <w:r>
        <w:t>Ncell</w:t>
      </w:r>
      <w:proofErr w:type="spellEnd"/>
      <w:r>
        <w:t xml:space="preserve"> with multiple anchor carriers across multiple beams, facilitating IDLE mode reselection without requiring SIB reads.</w:t>
      </w:r>
    </w:p>
    <w:p w14:paraId="5CFB70ED" w14:textId="754DF2F3" w:rsidR="00BA3BB8" w:rsidRDefault="002A30DB" w:rsidP="002A30DB">
      <w:pPr>
        <w:rPr>
          <w:b/>
          <w:bCs/>
          <w:lang w:val="en-US"/>
        </w:rPr>
      </w:pPr>
      <w:r w:rsidRPr="00BA3BB8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5</w:t>
      </w:r>
      <w:r w:rsidRPr="00BA3BB8">
        <w:rPr>
          <w:b/>
          <w:bCs/>
          <w:lang w:val="en-US"/>
        </w:rPr>
        <w:t xml:space="preserve">: RAN1 to </w:t>
      </w:r>
      <w:r w:rsidR="00E5486D">
        <w:rPr>
          <w:b/>
          <w:bCs/>
          <w:lang w:val="en-US"/>
        </w:rPr>
        <w:t>study</w:t>
      </w:r>
      <w:r w:rsidRPr="00BA3BB8">
        <w:rPr>
          <w:b/>
          <w:bCs/>
          <w:lang w:val="en-US"/>
        </w:rPr>
        <w:t xml:space="preserve"> support of a </w:t>
      </w:r>
      <w:proofErr w:type="spellStart"/>
      <w:r w:rsidRPr="00BA3BB8">
        <w:rPr>
          <w:b/>
          <w:bCs/>
          <w:lang w:val="en-US"/>
        </w:rPr>
        <w:t>Ncell</w:t>
      </w:r>
      <w:proofErr w:type="spellEnd"/>
      <w:r w:rsidRPr="00BA3BB8">
        <w:rPr>
          <w:b/>
          <w:bCs/>
          <w:lang w:val="en-US"/>
        </w:rPr>
        <w:t xml:space="preserve"> with multiple anchor carriers (e.g., one per satellite beam)</w:t>
      </w:r>
      <w:r w:rsidR="0038329C">
        <w:rPr>
          <w:b/>
          <w:bCs/>
          <w:lang w:val="en-US"/>
        </w:rPr>
        <w:t xml:space="preserve"> for NTN</w:t>
      </w:r>
      <w:r w:rsidR="00BA3BB8" w:rsidRPr="00BA3BB8">
        <w:rPr>
          <w:b/>
          <w:bCs/>
          <w:lang w:val="en-US"/>
        </w:rPr>
        <w:t>.</w:t>
      </w:r>
    </w:p>
    <w:p w14:paraId="19D8CA3A" w14:textId="77777777" w:rsidR="00905BDA" w:rsidRDefault="00905BDA" w:rsidP="002A30DB">
      <w:pPr>
        <w:rPr>
          <w:b/>
          <w:bCs/>
          <w:lang w:val="en-US"/>
        </w:rPr>
      </w:pPr>
    </w:p>
    <w:p w14:paraId="247C2432" w14:textId="40CA523B" w:rsidR="00905BDA" w:rsidRDefault="00905BDA" w:rsidP="00905BDA">
      <w:pPr>
        <w:pStyle w:val="Style2"/>
        <w:numPr>
          <w:ilvl w:val="2"/>
          <w:numId w:val="1"/>
        </w:numPr>
      </w:pPr>
      <w:r>
        <w:t>Connected mode beam-switching</w:t>
      </w:r>
    </w:p>
    <w:p w14:paraId="60E3F6B3" w14:textId="77777777" w:rsidR="00905BDA" w:rsidRPr="00BA3BB8" w:rsidRDefault="00905BDA" w:rsidP="002A30DB">
      <w:pPr>
        <w:rPr>
          <w:b/>
          <w:bCs/>
          <w:lang w:val="en-US"/>
        </w:rPr>
      </w:pPr>
    </w:p>
    <w:p w14:paraId="19C18BAA" w14:textId="0316E6E9" w:rsidR="00537332" w:rsidRDefault="00B82E59" w:rsidP="00612769">
      <w:pPr>
        <w:rPr>
          <w:lang w:val="en-US"/>
        </w:rPr>
      </w:pPr>
      <w:r>
        <w:rPr>
          <w:lang w:val="en-US"/>
        </w:rPr>
        <w:t xml:space="preserve">This structure of multiple anchor carriers for a </w:t>
      </w:r>
      <w:proofErr w:type="spellStart"/>
      <w:r>
        <w:rPr>
          <w:lang w:val="en-US"/>
        </w:rPr>
        <w:t>Ncell</w:t>
      </w:r>
      <w:proofErr w:type="spellEnd"/>
      <w:r>
        <w:rPr>
          <w:lang w:val="en-US"/>
        </w:rPr>
        <w:t xml:space="preserve"> in different satellite beams also lends itself to efficient connected mode mobility solutions</w:t>
      </w:r>
      <w:r w:rsidR="00AC0FBA">
        <w:rPr>
          <w:lang w:val="en-US"/>
        </w:rPr>
        <w:t xml:space="preserve">, without having to trigger an RLF every time there is a change in the serving beam. </w:t>
      </w:r>
      <w:r w:rsidR="00612769" w:rsidRPr="00612769">
        <w:rPr>
          <w:lang w:val="en-US"/>
        </w:rPr>
        <w:t xml:space="preserve">Across carrier groups within the same </w:t>
      </w:r>
      <w:proofErr w:type="spellStart"/>
      <w:r w:rsidR="00612769" w:rsidRPr="00612769">
        <w:rPr>
          <w:lang w:val="en-US"/>
        </w:rPr>
        <w:t>Ncell</w:t>
      </w:r>
      <w:proofErr w:type="spellEnd"/>
      <w:r w:rsidR="00612769" w:rsidRPr="00612769">
        <w:rPr>
          <w:lang w:val="en-US"/>
        </w:rPr>
        <w:t>, connected mode satellite beam switching, to reduce frequent RLF triggering</w:t>
      </w:r>
      <w:r w:rsidR="00612769">
        <w:rPr>
          <w:lang w:val="en-US"/>
        </w:rPr>
        <w:t xml:space="preserve">, may be supported. </w:t>
      </w:r>
      <w:r w:rsidR="00612769" w:rsidRPr="00612769">
        <w:rPr>
          <w:lang w:val="en-US"/>
        </w:rPr>
        <w:t>This would require a mechanism to dynamically switch NB-IoT carriers i</w:t>
      </w:r>
      <w:r w:rsidR="00612769">
        <w:rPr>
          <w:lang w:val="en-US"/>
        </w:rPr>
        <w:t>n connected</w:t>
      </w:r>
      <w:r w:rsidR="00612769" w:rsidRPr="00612769">
        <w:rPr>
          <w:lang w:val="en-US"/>
        </w:rPr>
        <w:t xml:space="preserve"> mode</w:t>
      </w:r>
      <w:r w:rsidR="00612769">
        <w:rPr>
          <w:lang w:val="en-US"/>
        </w:rPr>
        <w:t xml:space="preserve">. </w:t>
      </w:r>
      <w:r w:rsidR="00612769" w:rsidRPr="00612769">
        <w:rPr>
          <w:lang w:val="en-US"/>
        </w:rPr>
        <w:t xml:space="preserve">Currently, </w:t>
      </w:r>
      <w:r w:rsidR="00612769" w:rsidRPr="00612769">
        <w:rPr>
          <w:lang w:val="en-US"/>
        </w:rPr>
        <w:lastRenderedPageBreak/>
        <w:t xml:space="preserve">NB-IoT carrier configuration is only possible by </w:t>
      </w:r>
      <w:r w:rsidR="00E251FD" w:rsidRPr="00612769">
        <w:rPr>
          <w:lang w:val="en-US"/>
        </w:rPr>
        <w:t>an</w:t>
      </w:r>
      <w:r w:rsidR="00612769" w:rsidRPr="00612769">
        <w:rPr>
          <w:lang w:val="en-US"/>
        </w:rPr>
        <w:t xml:space="preserve"> RRC reconfiguration message</w:t>
      </w:r>
      <w:r w:rsidR="00DE5EF4">
        <w:rPr>
          <w:lang w:val="en-US"/>
        </w:rPr>
        <w:t xml:space="preserve">. To enable this use case in NTN, </w:t>
      </w:r>
      <w:r w:rsidR="00E251FD">
        <w:rPr>
          <w:lang w:val="en-US"/>
        </w:rPr>
        <w:t xml:space="preserve">connected mode </w:t>
      </w:r>
      <w:r w:rsidR="00DE5EF4">
        <w:rPr>
          <w:lang w:val="en-US"/>
        </w:rPr>
        <w:t>“beam switching”</w:t>
      </w:r>
      <w:r w:rsidR="00612769" w:rsidRPr="00612769">
        <w:rPr>
          <w:lang w:val="en-US"/>
        </w:rPr>
        <w:t xml:space="preserve"> </w:t>
      </w:r>
      <w:r w:rsidR="00E251FD">
        <w:rPr>
          <w:lang w:val="en-US"/>
        </w:rPr>
        <w:t>may</w:t>
      </w:r>
      <w:r w:rsidR="00612769" w:rsidRPr="00612769">
        <w:rPr>
          <w:lang w:val="en-US"/>
        </w:rPr>
        <w:t xml:space="preserve"> be </w:t>
      </w:r>
      <w:r w:rsidR="00B17547">
        <w:rPr>
          <w:lang w:val="en-US"/>
        </w:rPr>
        <w:t>facilitated</w:t>
      </w:r>
      <w:r w:rsidR="00612769" w:rsidRPr="00612769">
        <w:rPr>
          <w:lang w:val="en-US"/>
        </w:rPr>
        <w:t xml:space="preserve"> by a DCI or MAC-CE</w:t>
      </w:r>
      <w:r w:rsidR="00E251FD">
        <w:rPr>
          <w:lang w:val="en-US"/>
        </w:rPr>
        <w:t>.</w:t>
      </w:r>
    </w:p>
    <w:p w14:paraId="5870FB0A" w14:textId="77777777" w:rsidR="00C74923" w:rsidRDefault="00C74923" w:rsidP="00C7492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65DE8DF" wp14:editId="63E16FCF">
            <wp:extent cx="3502685" cy="1339369"/>
            <wp:effectExtent l="0" t="0" r="0" b="0"/>
            <wp:docPr id="23" name="Picture 2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ellPlanning_CONNECTED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503" cy="135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5206F" w14:textId="5F129F8B" w:rsidR="00C74923" w:rsidRDefault="00C74923" w:rsidP="00C74923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5</w:t>
      </w:r>
      <w:r w:rsidR="003216E0">
        <w:rPr>
          <w:noProof/>
        </w:rPr>
        <w:fldChar w:fldCharType="end"/>
      </w:r>
      <w:r>
        <w:t xml:space="preserve">: </w:t>
      </w:r>
      <w:r w:rsidRPr="00E20C1A">
        <w:t xml:space="preserve">A </w:t>
      </w:r>
      <w:proofErr w:type="spellStart"/>
      <w:r w:rsidRPr="00E20C1A">
        <w:t>Ncell</w:t>
      </w:r>
      <w:proofErr w:type="spellEnd"/>
      <w:r w:rsidRPr="00E20C1A">
        <w:t xml:space="preserve"> with multiple anchor carriers across multiple beams, facilitating </w:t>
      </w:r>
      <w:r>
        <w:t>connected mode beam-switching</w:t>
      </w:r>
      <w:r w:rsidRPr="00E20C1A">
        <w:t xml:space="preserve"> without requir</w:t>
      </w:r>
      <w:r>
        <w:t>ing RLF triggering</w:t>
      </w:r>
      <w:r w:rsidRPr="00E20C1A">
        <w:t>.</w:t>
      </w:r>
    </w:p>
    <w:p w14:paraId="47F2BC47" w14:textId="0159164D" w:rsidR="00314B41" w:rsidRDefault="0046551E" w:rsidP="00314B41">
      <w:pPr>
        <w:rPr>
          <w:b/>
          <w:bCs/>
          <w:lang w:val="en-US"/>
        </w:rPr>
      </w:pPr>
      <w:r w:rsidRPr="008221BA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6</w:t>
      </w:r>
      <w:r w:rsidRPr="008221BA">
        <w:rPr>
          <w:b/>
          <w:bCs/>
          <w:lang w:val="en-US"/>
        </w:rPr>
        <w:t xml:space="preserve">: RAN1 to </w:t>
      </w:r>
      <w:r w:rsidR="00E5486D">
        <w:rPr>
          <w:b/>
          <w:bCs/>
          <w:lang w:val="en-US"/>
        </w:rPr>
        <w:t>study</w:t>
      </w:r>
      <w:r w:rsidRPr="008221BA">
        <w:rPr>
          <w:b/>
          <w:bCs/>
          <w:lang w:val="en-US"/>
        </w:rPr>
        <w:t xml:space="preserve"> DCI/MAC-CE based satellite beam-switching across different carriers (</w:t>
      </w:r>
      <w:r w:rsidR="008221BA" w:rsidRPr="008221BA">
        <w:rPr>
          <w:b/>
          <w:bCs/>
          <w:lang w:val="en-US"/>
        </w:rPr>
        <w:t>in different satellite beams</w:t>
      </w:r>
      <w:r w:rsidRPr="008221BA">
        <w:rPr>
          <w:b/>
          <w:bCs/>
          <w:lang w:val="en-US"/>
        </w:rPr>
        <w:t>)</w:t>
      </w:r>
      <w:r w:rsidR="008221BA" w:rsidRPr="008221BA">
        <w:rPr>
          <w:b/>
          <w:bCs/>
          <w:lang w:val="en-US"/>
        </w:rPr>
        <w:t xml:space="preserve"> of a </w:t>
      </w:r>
      <w:proofErr w:type="spellStart"/>
      <w:r w:rsidR="008221BA" w:rsidRPr="008221BA">
        <w:rPr>
          <w:b/>
          <w:bCs/>
          <w:lang w:val="en-US"/>
        </w:rPr>
        <w:t>Ncell</w:t>
      </w:r>
      <w:proofErr w:type="spellEnd"/>
      <w:r w:rsidR="008221BA" w:rsidRPr="008221BA">
        <w:rPr>
          <w:b/>
          <w:bCs/>
          <w:lang w:val="en-US"/>
        </w:rPr>
        <w:t>, in connected mode.</w:t>
      </w:r>
    </w:p>
    <w:p w14:paraId="28DBE7BB" w14:textId="77777777" w:rsidR="00905BDA" w:rsidRDefault="00905BDA" w:rsidP="00314B41">
      <w:pPr>
        <w:rPr>
          <w:b/>
          <w:bCs/>
          <w:lang w:val="en-US"/>
        </w:rPr>
      </w:pPr>
    </w:p>
    <w:p w14:paraId="2CC18025" w14:textId="0DBCA9E6" w:rsidR="00905BDA" w:rsidRDefault="00905BDA" w:rsidP="00905BDA">
      <w:pPr>
        <w:pStyle w:val="Style2"/>
        <w:numPr>
          <w:ilvl w:val="2"/>
          <w:numId w:val="1"/>
        </w:numPr>
      </w:pPr>
      <w:r>
        <w:t>NPRACH preamble-based satellite beam sounding</w:t>
      </w:r>
      <w:r w:rsidR="00464CA3">
        <w:t xml:space="preserve"> for NB-IoT</w:t>
      </w:r>
    </w:p>
    <w:p w14:paraId="25355414" w14:textId="2FB631BC" w:rsidR="00464CA3" w:rsidRDefault="00464CA3" w:rsidP="00314B41">
      <w:pPr>
        <w:rPr>
          <w:b/>
          <w:bCs/>
          <w:lang w:val="en-US"/>
        </w:rPr>
      </w:pPr>
    </w:p>
    <w:p w14:paraId="3990F403" w14:textId="628B7E58" w:rsidR="004C0ECA" w:rsidRDefault="00ED1A12" w:rsidP="005A6DE2">
      <w:pPr>
        <w:rPr>
          <w:lang w:val="en-US"/>
        </w:rPr>
      </w:pPr>
      <w:r w:rsidRPr="00ED1A12">
        <w:rPr>
          <w:lang w:val="en-US"/>
        </w:rPr>
        <w:t xml:space="preserve">As </w:t>
      </w:r>
      <w:r>
        <w:rPr>
          <w:lang w:val="en-US"/>
        </w:rPr>
        <w:t>mentioned</w:t>
      </w:r>
      <w:r w:rsidRPr="00ED1A12">
        <w:rPr>
          <w:lang w:val="en-US"/>
        </w:rPr>
        <w:t xml:space="preserve"> before, NB-IoT does not support connected mode measurements. An alternate mechanism may therefore be needed for the network to know the channel condition of a satellite beam at the UE—in part, to facilitate a DCI/MAC-CE-based satellite beam-switching in connected mode, as described above.</w:t>
      </w:r>
      <w:r w:rsidR="00AD0869">
        <w:rPr>
          <w:lang w:val="en-US"/>
        </w:rPr>
        <w:t xml:space="preserve"> </w:t>
      </w:r>
      <w:r w:rsidR="0049213F">
        <w:rPr>
          <w:lang w:val="en-US"/>
        </w:rPr>
        <w:t xml:space="preserve">To this end, a simple solution may be as follows: </w:t>
      </w:r>
      <w:r w:rsidR="005A6DE2" w:rsidRPr="005A6DE2">
        <w:rPr>
          <w:lang w:val="en-US"/>
        </w:rPr>
        <w:t xml:space="preserve">The UE transmits an NPRACH preamble in a carrier of a satellite beam, so that the network can </w:t>
      </w:r>
      <w:r w:rsidR="005A6DE2">
        <w:rPr>
          <w:lang w:val="en-US"/>
        </w:rPr>
        <w:t>“</w:t>
      </w:r>
      <w:r w:rsidR="005A6DE2" w:rsidRPr="005A6DE2">
        <w:rPr>
          <w:lang w:val="en-US"/>
        </w:rPr>
        <w:t>sound</w:t>
      </w:r>
      <w:r w:rsidR="005A6DE2">
        <w:rPr>
          <w:lang w:val="en-US"/>
        </w:rPr>
        <w:t>”</w:t>
      </w:r>
      <w:r w:rsidR="005A6DE2" w:rsidRPr="005A6DE2">
        <w:rPr>
          <w:lang w:val="en-US"/>
        </w:rPr>
        <w:t xml:space="preserve"> the beam condition at the UE</w:t>
      </w:r>
      <w:r w:rsidR="005A6DE2">
        <w:rPr>
          <w:lang w:val="en-US"/>
        </w:rPr>
        <w:t>—akin to an SRS in LTE/NR</w:t>
      </w:r>
      <w:r w:rsidR="00C84CE5">
        <w:rPr>
          <w:lang w:val="en-US"/>
        </w:rPr>
        <w:t xml:space="preserve">, facilitated here by an existing signal in the NPRACH. </w:t>
      </w:r>
      <w:r w:rsidR="005A6DE2" w:rsidRPr="005A6DE2">
        <w:rPr>
          <w:lang w:val="en-US"/>
        </w:rPr>
        <w:t>These NPRACH resources are different (e.g., in a different carrier) from those used for random access</w:t>
      </w:r>
      <w:r w:rsidR="00C84CE5">
        <w:rPr>
          <w:lang w:val="en-US"/>
        </w:rPr>
        <w:t>, and</w:t>
      </w:r>
      <w:r w:rsidR="005A6DE2" w:rsidRPr="005A6DE2">
        <w:rPr>
          <w:lang w:val="en-US"/>
        </w:rPr>
        <w:t xml:space="preserve"> may be triggered by a NPDCCH order, or be configured on a periodic or semi-persistent basis</w:t>
      </w:r>
      <w:r w:rsidR="00D90AFC">
        <w:rPr>
          <w:lang w:val="en-US"/>
        </w:rPr>
        <w:t xml:space="preserve">. </w:t>
      </w:r>
      <w:r w:rsidR="005A6DE2" w:rsidRPr="005A6DE2">
        <w:rPr>
          <w:lang w:val="en-US"/>
        </w:rPr>
        <w:t>These NPRACH resources may be coordinated in time and frequency across beams for efficient sounding</w:t>
      </w:r>
      <w:r w:rsidR="00D90AFC">
        <w:rPr>
          <w:lang w:val="en-US"/>
        </w:rPr>
        <w:t>.</w:t>
      </w:r>
    </w:p>
    <w:p w14:paraId="0025E1E9" w14:textId="77777777" w:rsidR="00166645" w:rsidRDefault="00166645" w:rsidP="0016664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A4C9869" wp14:editId="5F29E5AB">
            <wp:extent cx="4026468" cy="2051704"/>
            <wp:effectExtent l="0" t="0" r="0" b="0"/>
            <wp:docPr id="24" name="Picture 2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am_sounding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22" cy="206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CCFCF" w14:textId="1C7AD355" w:rsidR="00D90AFC" w:rsidRDefault="00166645" w:rsidP="00166645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6</w:t>
      </w:r>
      <w:r w:rsidR="003216E0">
        <w:rPr>
          <w:noProof/>
        </w:rPr>
        <w:fldChar w:fldCharType="end"/>
      </w:r>
      <w:r>
        <w:t xml:space="preserve">: </w:t>
      </w:r>
      <w:r w:rsidRPr="00470AAC">
        <w:t xml:space="preserve">Example depiction of NPRACH resources for “beam sounding” across carriers in different satellite beams. The resources may be “coordinated”—as shown in this </w:t>
      </w:r>
      <w:r w:rsidR="008B3FAF" w:rsidRPr="00470AAC">
        <w:t>figure or</w:t>
      </w:r>
      <w:r w:rsidRPr="00470AAC">
        <w:t xml:space="preserve"> be independently defined across different beams</w:t>
      </w:r>
      <w:r>
        <w:t>.</w:t>
      </w:r>
    </w:p>
    <w:p w14:paraId="2F0A23CB" w14:textId="4C600180" w:rsidR="00464CA3" w:rsidRPr="00464CA3" w:rsidRDefault="00464CA3" w:rsidP="00464CA3">
      <w:pPr>
        <w:rPr>
          <w:lang w:val="en-US"/>
        </w:rPr>
      </w:pPr>
      <w:r>
        <w:rPr>
          <w:lang w:val="en-US"/>
        </w:rPr>
        <w:t xml:space="preserve">We note that, 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, we don’t need this enhancement, since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can support connected mode measurements.</w:t>
      </w:r>
    </w:p>
    <w:p w14:paraId="32147BCD" w14:textId="487E2FB8" w:rsidR="00801FF0" w:rsidRPr="0080168D" w:rsidRDefault="00801FF0" w:rsidP="00801FF0">
      <w:pPr>
        <w:rPr>
          <w:b/>
          <w:bCs/>
          <w:lang w:val="en-US"/>
        </w:rPr>
      </w:pPr>
      <w:r w:rsidRPr="0080168D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7</w:t>
      </w:r>
      <w:r w:rsidRPr="0080168D">
        <w:rPr>
          <w:b/>
          <w:bCs/>
          <w:lang w:val="en-US"/>
        </w:rPr>
        <w:t xml:space="preserve">: </w:t>
      </w:r>
      <w:r w:rsidR="00C4411B" w:rsidRPr="0080168D">
        <w:rPr>
          <w:b/>
          <w:bCs/>
          <w:lang w:val="en-US"/>
        </w:rPr>
        <w:t xml:space="preserve">RAN1 to </w:t>
      </w:r>
      <w:r w:rsidR="00E5486D" w:rsidRPr="0080168D">
        <w:rPr>
          <w:b/>
          <w:bCs/>
          <w:lang w:val="en-US"/>
        </w:rPr>
        <w:t>study NPRACH preamble-based satellite beam sounding, to facilitate connected mode beam-switching.</w:t>
      </w:r>
    </w:p>
    <w:p w14:paraId="4DC1EE28" w14:textId="76629DC1" w:rsidR="008F3E1A" w:rsidRPr="008F3E1A" w:rsidRDefault="00E03FCE" w:rsidP="008F3E1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Timing Relationships</w:t>
      </w:r>
    </w:p>
    <w:p w14:paraId="143992A1" w14:textId="0BAA8A52" w:rsidR="00B86860" w:rsidRDefault="008F3E1A" w:rsidP="00B86860">
      <w:pPr>
        <w:pStyle w:val="Style2"/>
        <w:numPr>
          <w:ilvl w:val="1"/>
          <w:numId w:val="1"/>
        </w:numPr>
      </w:pPr>
      <w:r>
        <w:t>Mechanisms for UE reporting of Timing Advance for Half-Duplex UEs</w:t>
      </w:r>
    </w:p>
    <w:p w14:paraId="28892F00" w14:textId="77777777" w:rsidR="00B86860" w:rsidRDefault="00B86860" w:rsidP="00B86860"/>
    <w:p w14:paraId="63DC91D8" w14:textId="63DFD354" w:rsidR="00E03FCE" w:rsidRDefault="00C672BE" w:rsidP="00C672BE">
      <w:r w:rsidRPr="00C672BE">
        <w:lastRenderedPageBreak/>
        <w:t>In NTN, the timing advance (TA) between UL and DL frames will be large</w:t>
      </w:r>
      <w:r w:rsidR="00CE04F7">
        <w:t>, due to the large</w:t>
      </w:r>
      <w:r w:rsidRPr="00C672BE">
        <w:t xml:space="preserve"> round-trip times between UEs and satellite</w:t>
      </w:r>
      <w:r w:rsidR="00CE04F7">
        <w:t xml:space="preserve">. </w:t>
      </w:r>
      <w:r w:rsidRPr="00C672BE">
        <w:t>Further, this TA will vary across UEs</w:t>
      </w:r>
      <w:r w:rsidR="00CE04F7">
        <w:t>—t</w:t>
      </w:r>
      <w:r w:rsidRPr="00C672BE">
        <w:t>he differences may be in terms of multiple slots</w:t>
      </w:r>
      <w:r w:rsidR="00CE04F7">
        <w:t xml:space="preserve">. </w:t>
      </w:r>
      <w:r w:rsidRPr="00C672BE">
        <w:t>For half-duplex UEs, this results in UE-specific interrupted DL subframes</w:t>
      </w:r>
      <w:r w:rsidR="001232EC">
        <w:t xml:space="preserve">. </w:t>
      </w:r>
      <w:r w:rsidR="007331DA">
        <w:t xml:space="preserve">It is important to consider that the </w:t>
      </w:r>
      <w:r w:rsidRPr="00C672BE">
        <w:t xml:space="preserve">UEs may determine </w:t>
      </w:r>
      <w:r w:rsidR="007331DA">
        <w:t xml:space="preserve">(at least a large portion of) </w:t>
      </w:r>
      <w:r w:rsidRPr="00C672BE">
        <w:t>this TA on its own</w:t>
      </w:r>
      <w:r w:rsidR="007331DA">
        <w:t>—e.g.</w:t>
      </w:r>
      <w:r w:rsidR="00B517F2">
        <w:t>, based on geolocation of itself in relation to the satellite</w:t>
      </w:r>
      <w:r w:rsidRPr="00C672BE">
        <w:t>, without the network knowing this a priori</w:t>
      </w:r>
      <w:r w:rsidR="001232EC">
        <w:t xml:space="preserve">. </w:t>
      </w:r>
      <w:r w:rsidR="00B517F2">
        <w:t xml:space="preserve">If the network does not know this TA, </w:t>
      </w:r>
      <w:r w:rsidR="00114D8E">
        <w:t>this may result in invalid scheduling.</w:t>
      </w:r>
    </w:p>
    <w:p w14:paraId="241DF1B7" w14:textId="77777777" w:rsidR="00F1324F" w:rsidRDefault="008D58EC" w:rsidP="00F1324F">
      <w:pPr>
        <w:keepNext/>
        <w:jc w:val="center"/>
      </w:pPr>
      <w:r>
        <w:rPr>
          <w:noProof/>
        </w:rPr>
        <w:drawing>
          <wp:inline distT="0" distB="0" distL="0" distR="0" wp14:anchorId="4AAFB87A" wp14:editId="735E2688">
            <wp:extent cx="4119899" cy="4025485"/>
            <wp:effectExtent l="0" t="0" r="0" b="0"/>
            <wp:docPr id="25" name="Picture 2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Half_Duplex_TA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0982" cy="402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009FF" w14:textId="02F9C3B8" w:rsidR="00114D8E" w:rsidRDefault="00F1324F" w:rsidP="00F1324F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7</w:t>
      </w:r>
      <w:r w:rsidR="003216E0">
        <w:rPr>
          <w:noProof/>
        </w:rPr>
        <w:fldChar w:fldCharType="end"/>
      </w:r>
      <w:r>
        <w:t>: Illustration of UE-specific interrupted subframes in the downlink, depending on the UE's TA, for half-duplex UEs.</w:t>
      </w:r>
    </w:p>
    <w:p w14:paraId="070B8D58" w14:textId="0F1644E3" w:rsidR="00CD471E" w:rsidRDefault="00CD471E" w:rsidP="00CD471E">
      <w:pPr>
        <w:rPr>
          <w:b/>
          <w:bCs/>
          <w:lang w:val="en-US"/>
        </w:rPr>
      </w:pPr>
      <w:r w:rsidRPr="00651E33">
        <w:rPr>
          <w:b/>
          <w:bCs/>
          <w:i/>
          <w:iCs/>
          <w:u w:val="single"/>
          <w:lang w:val="en-US"/>
        </w:rPr>
        <w:t>Observation</w:t>
      </w:r>
      <w:r w:rsidR="00264BDF">
        <w:rPr>
          <w:b/>
          <w:bCs/>
          <w:i/>
          <w:iCs/>
          <w:u w:val="single"/>
          <w:lang w:val="en-US"/>
        </w:rPr>
        <w:t xml:space="preserve"> 3</w:t>
      </w:r>
      <w:r w:rsidRPr="00651E33">
        <w:rPr>
          <w:b/>
          <w:bCs/>
          <w:lang w:val="en-US"/>
        </w:rPr>
        <w:t xml:space="preserve">: </w:t>
      </w:r>
      <w:r w:rsidR="00F90E18" w:rsidRPr="00651E33">
        <w:rPr>
          <w:b/>
          <w:bCs/>
          <w:lang w:val="en-US"/>
        </w:rPr>
        <w:t xml:space="preserve">For half-duplex UEs (including NB-IoT and </w:t>
      </w:r>
      <w:r w:rsidR="00B80622" w:rsidRPr="00651E33">
        <w:rPr>
          <w:b/>
          <w:bCs/>
          <w:lang w:val="en-US"/>
        </w:rPr>
        <w:t xml:space="preserve">HD </w:t>
      </w:r>
      <w:proofErr w:type="spellStart"/>
      <w:r w:rsidR="00B80622" w:rsidRPr="00651E33">
        <w:rPr>
          <w:b/>
          <w:bCs/>
          <w:lang w:val="en-US"/>
        </w:rPr>
        <w:t>eMTC</w:t>
      </w:r>
      <w:proofErr w:type="spellEnd"/>
      <w:r w:rsidR="00B80622" w:rsidRPr="00651E33">
        <w:rPr>
          <w:b/>
          <w:bCs/>
          <w:lang w:val="en-US"/>
        </w:rPr>
        <w:t xml:space="preserve"> UEs</w:t>
      </w:r>
      <w:r w:rsidR="00F90E18" w:rsidRPr="00651E33">
        <w:rPr>
          <w:b/>
          <w:bCs/>
          <w:lang w:val="en-US"/>
        </w:rPr>
        <w:t>)</w:t>
      </w:r>
      <w:r w:rsidR="00B80622" w:rsidRPr="00651E33">
        <w:rPr>
          <w:b/>
          <w:bCs/>
          <w:lang w:val="en-US"/>
        </w:rPr>
        <w:t>, the interrupted downlink subframes due to an uplink transmission are UE-</w:t>
      </w:r>
      <w:r w:rsidR="00651E33" w:rsidRPr="00651E33">
        <w:rPr>
          <w:b/>
          <w:bCs/>
          <w:lang w:val="en-US"/>
        </w:rPr>
        <w:t>specific and</w:t>
      </w:r>
      <w:r w:rsidR="00B80622" w:rsidRPr="00651E33">
        <w:rPr>
          <w:b/>
          <w:bCs/>
          <w:lang w:val="en-US"/>
        </w:rPr>
        <w:t xml:space="preserve"> related to the </w:t>
      </w:r>
      <w:r w:rsidR="00651E33" w:rsidRPr="00651E33">
        <w:rPr>
          <w:b/>
          <w:bCs/>
          <w:lang w:val="en-US"/>
        </w:rPr>
        <w:t>UE-specific TA.</w:t>
      </w:r>
    </w:p>
    <w:p w14:paraId="3864FE6C" w14:textId="3EAC39E9" w:rsidR="00651E33" w:rsidRDefault="00E9595B" w:rsidP="00CD471E">
      <w:pPr>
        <w:rPr>
          <w:lang w:val="en-US"/>
        </w:rPr>
      </w:pPr>
      <w:r w:rsidRPr="00A553CA">
        <w:rPr>
          <w:lang w:val="en-US"/>
        </w:rPr>
        <w:t>To this end, we propose support for a mechanism by which the UE reports its TA to the network</w:t>
      </w:r>
      <w:r w:rsidR="006E175E" w:rsidRPr="00A553CA">
        <w:rPr>
          <w:lang w:val="en-US"/>
        </w:rPr>
        <w:t xml:space="preserve">, so that the network and UE are in sync for uplink/downlink scheduling purposes. </w:t>
      </w:r>
      <w:r w:rsidR="00440303">
        <w:rPr>
          <w:lang w:val="en-US"/>
        </w:rPr>
        <w:t>Further, this reporting may need to be updated, since the relative position of the satellite w.r.t the UE may change over time.</w:t>
      </w:r>
    </w:p>
    <w:p w14:paraId="70367476" w14:textId="1F535AD9" w:rsidR="00440303" w:rsidRDefault="00440303" w:rsidP="00CD471E">
      <w:pPr>
        <w:rPr>
          <w:b/>
          <w:bCs/>
          <w:lang w:val="en-US"/>
        </w:rPr>
      </w:pPr>
      <w:r w:rsidRPr="00AD7F52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8</w:t>
      </w:r>
      <w:r w:rsidRPr="00AD7F52">
        <w:rPr>
          <w:b/>
          <w:bCs/>
          <w:lang w:val="en-US"/>
        </w:rPr>
        <w:t>: RAN1 to study mechanisms for UE reporting of UE-specific TA for half-duplex UEs over NTN</w:t>
      </w:r>
      <w:r w:rsidR="00AD7F52" w:rsidRPr="00AD7F52">
        <w:rPr>
          <w:b/>
          <w:bCs/>
          <w:lang w:val="en-US"/>
        </w:rPr>
        <w:t>, including mechanisms for updating the TA when it changes.</w:t>
      </w:r>
    </w:p>
    <w:p w14:paraId="2ED7C824" w14:textId="77777777" w:rsidR="00647D8A" w:rsidRDefault="00647D8A" w:rsidP="00CD471E">
      <w:pPr>
        <w:rPr>
          <w:b/>
          <w:bCs/>
          <w:lang w:val="en-US"/>
        </w:rPr>
      </w:pPr>
    </w:p>
    <w:p w14:paraId="78535AA0" w14:textId="3764B7B5" w:rsidR="00647D8A" w:rsidRDefault="00647D8A" w:rsidP="00483DE7">
      <w:pPr>
        <w:pStyle w:val="Style2"/>
        <w:numPr>
          <w:ilvl w:val="1"/>
          <w:numId w:val="1"/>
        </w:numPr>
      </w:pPr>
      <w:r>
        <w:t>Definition of interrupted downlink subframes</w:t>
      </w:r>
    </w:p>
    <w:p w14:paraId="00C43E69" w14:textId="130DFC2C" w:rsidR="00647D8A" w:rsidRDefault="00647D8A" w:rsidP="00CD471E">
      <w:pPr>
        <w:rPr>
          <w:b/>
          <w:bCs/>
          <w:lang w:val="en-US"/>
        </w:rPr>
      </w:pPr>
    </w:p>
    <w:p w14:paraId="4AD96D2D" w14:textId="1A043310" w:rsidR="00FF2302" w:rsidRDefault="00B67771" w:rsidP="00FF2302">
      <w:pPr>
        <w:rPr>
          <w:lang w:val="en-US"/>
        </w:rPr>
      </w:pPr>
      <w:r w:rsidRPr="00B67771">
        <w:rPr>
          <w:lang w:val="en-US"/>
        </w:rPr>
        <w:t>As described before, due to large, UE-specific TAs, DL subframes interrupted due to an UL transmission are UE-specific</w:t>
      </w:r>
      <w:r>
        <w:rPr>
          <w:lang w:val="en-US"/>
        </w:rPr>
        <w:t xml:space="preserve">. </w:t>
      </w:r>
      <w:r w:rsidRPr="00B67771">
        <w:rPr>
          <w:lang w:val="en-US"/>
        </w:rPr>
        <w:t>Current specs assume a small TA</w:t>
      </w:r>
      <w:r w:rsidR="003B0F05">
        <w:rPr>
          <w:lang w:val="en-US"/>
        </w:rPr>
        <w:t xml:space="preserve"> (e.g., up to 1 </w:t>
      </w:r>
      <w:proofErr w:type="spellStart"/>
      <w:r w:rsidR="003B0F05">
        <w:rPr>
          <w:lang w:val="en-US"/>
        </w:rPr>
        <w:t>ms</w:t>
      </w:r>
      <w:proofErr w:type="spellEnd"/>
      <w:r w:rsidR="003B0F05">
        <w:rPr>
          <w:lang w:val="en-US"/>
        </w:rPr>
        <w:t>)</w:t>
      </w:r>
      <w:r w:rsidRPr="00B67771">
        <w:rPr>
          <w:lang w:val="en-US"/>
        </w:rPr>
        <w:t>, and do not incorporate a “TA term” in defining these subframes</w:t>
      </w:r>
      <w:r w:rsidR="00FF51D2">
        <w:rPr>
          <w:lang w:val="en-US"/>
        </w:rPr>
        <w:t xml:space="preserve">. </w:t>
      </w:r>
      <w:r w:rsidR="00F321D7">
        <w:rPr>
          <w:lang w:val="en-US"/>
        </w:rPr>
        <w:t xml:space="preserve">However, as illustrated in Fig </w:t>
      </w:r>
      <w:r w:rsidR="00595973">
        <w:rPr>
          <w:lang w:val="en-US"/>
        </w:rPr>
        <w:t>8</w:t>
      </w:r>
      <w:r w:rsidR="00F321D7">
        <w:rPr>
          <w:lang w:val="en-US"/>
        </w:rPr>
        <w:t xml:space="preserve">, for NTN, </w:t>
      </w:r>
      <w:r w:rsidR="00B4627F">
        <w:rPr>
          <w:lang w:val="en-US"/>
        </w:rPr>
        <w:t xml:space="preserve">the interrupted subframes need to be defined using a term that captures the impact of this very large TA. </w:t>
      </w:r>
      <w:r w:rsidR="00FF2302">
        <w:rPr>
          <w:lang w:val="en-US"/>
        </w:rPr>
        <w:t>In the figure, w</w:t>
      </w:r>
      <w:r w:rsidR="00FF2302" w:rsidRPr="00FF2302">
        <w:rPr>
          <w:lang w:val="en-US"/>
        </w:rPr>
        <w:t xml:space="preserve">e want X_DL to Y_DL to be the interrupted DL SFs—i.e., the </w:t>
      </w:r>
      <w:r w:rsidR="00FF2302">
        <w:rPr>
          <w:lang w:val="en-US"/>
        </w:rPr>
        <w:t>subframes</w:t>
      </w:r>
      <w:r w:rsidR="00FF2302" w:rsidRPr="00FF2302">
        <w:rPr>
          <w:lang w:val="en-US"/>
        </w:rPr>
        <w:t xml:space="preserve"> where the UE is not required to monitor another PDCCH, since it must get ready to transmit the PUSCH starting at Y_UL.</w:t>
      </w:r>
      <w:r w:rsidR="00745BCD">
        <w:rPr>
          <w:lang w:val="en-US"/>
        </w:rPr>
        <w:t xml:space="preserve"> </w:t>
      </w:r>
      <w:r w:rsidR="00FF2302" w:rsidRPr="00FF2302">
        <w:rPr>
          <w:lang w:val="en-US"/>
        </w:rPr>
        <w:t>Without the “-TA” term for Y_DL, the interrupted SFs would be from X_DL +TA to Y_DL +TA, while it would (problematically) be expected to monitor PDCCH from X_DL to Y_DL!</w:t>
      </w:r>
    </w:p>
    <w:p w14:paraId="03959D08" w14:textId="77777777" w:rsidR="00E4711B" w:rsidRDefault="00E4711B" w:rsidP="00E4711B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2E563D7" wp14:editId="0152D6D1">
            <wp:extent cx="4507414" cy="2706277"/>
            <wp:effectExtent l="0" t="0" r="7620" b="0"/>
            <wp:docPr id="26" name="Picture 26" descr="A screen shot of a smart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lf_Duplex_interrupted_SF_definition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618" cy="271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E95DD" w14:textId="50C633B7" w:rsidR="00745BCD" w:rsidRDefault="00E4711B" w:rsidP="00E4711B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8</w:t>
      </w:r>
      <w:r w:rsidR="003216E0">
        <w:rPr>
          <w:noProof/>
        </w:rPr>
        <w:fldChar w:fldCharType="end"/>
      </w:r>
      <w:r>
        <w:t xml:space="preserve">: Definition of DL interrupted subframes in the presence of large NTN-specific </w:t>
      </w:r>
      <w:proofErr w:type="spellStart"/>
      <w:r>
        <w:t>TAs.</w:t>
      </w:r>
      <w:proofErr w:type="spellEnd"/>
    </w:p>
    <w:p w14:paraId="4556162E" w14:textId="4CC74EC4" w:rsidR="00AD7F52" w:rsidRDefault="00B67771" w:rsidP="00B67771">
      <w:pPr>
        <w:rPr>
          <w:lang w:val="en-US"/>
        </w:rPr>
      </w:pPr>
      <w:r w:rsidRPr="00B67771">
        <w:rPr>
          <w:lang w:val="en-US"/>
        </w:rPr>
        <w:t xml:space="preserve">Examples </w:t>
      </w:r>
      <w:r w:rsidR="00FF51D2">
        <w:rPr>
          <w:lang w:val="en-US"/>
        </w:rPr>
        <w:t>(for NB-IoT)</w:t>
      </w:r>
      <w:r w:rsidR="00FF2302">
        <w:rPr>
          <w:lang w:val="en-US"/>
        </w:rPr>
        <w:t xml:space="preserve"> where this needs to be reflected</w:t>
      </w:r>
      <w:r w:rsidR="00FF51D2">
        <w:rPr>
          <w:lang w:val="en-US"/>
        </w:rPr>
        <w:t xml:space="preserve"> </w:t>
      </w:r>
      <w:r w:rsidRPr="00B67771">
        <w:rPr>
          <w:lang w:val="en-US"/>
        </w:rPr>
        <w:t>include DL subframes before and after a NPUSCH or NPRACH transmission, DL subframes corresponding to half-duplex guard periods, etc.</w:t>
      </w:r>
    </w:p>
    <w:p w14:paraId="08B5699C" w14:textId="7DC1706E" w:rsidR="00647D8A" w:rsidRDefault="0089235F" w:rsidP="00B67771">
      <w:pPr>
        <w:rPr>
          <w:b/>
          <w:bCs/>
          <w:lang w:val="en-US"/>
        </w:rPr>
      </w:pPr>
      <w:r w:rsidRPr="008E469A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9</w:t>
      </w:r>
      <w:r w:rsidRPr="008E469A">
        <w:rPr>
          <w:b/>
          <w:bCs/>
          <w:lang w:val="en-US"/>
        </w:rPr>
        <w:t xml:space="preserve">: </w:t>
      </w:r>
      <w:r w:rsidR="00C65431" w:rsidRPr="008E469A">
        <w:rPr>
          <w:b/>
          <w:bCs/>
          <w:lang w:val="en-US"/>
        </w:rPr>
        <w:t xml:space="preserve">RAN1 to </w:t>
      </w:r>
      <w:r w:rsidR="00866ACC">
        <w:rPr>
          <w:b/>
          <w:bCs/>
          <w:lang w:val="en-US"/>
        </w:rPr>
        <w:t>study</w:t>
      </w:r>
      <w:r w:rsidR="00C65431" w:rsidRPr="008E469A">
        <w:rPr>
          <w:b/>
          <w:bCs/>
          <w:lang w:val="en-US"/>
        </w:rPr>
        <w:t xml:space="preserve"> the definition of downlink interrupted subframes (e.g., those before and after a PUSCH, PRACH</w:t>
      </w:r>
      <w:r w:rsidR="00D24C0A" w:rsidRPr="008E469A">
        <w:rPr>
          <w:b/>
          <w:bCs/>
          <w:lang w:val="en-US"/>
        </w:rPr>
        <w:t>, and half-duplex guard periods</w:t>
      </w:r>
      <w:r w:rsidR="00C65431" w:rsidRPr="008E469A">
        <w:rPr>
          <w:b/>
          <w:bCs/>
          <w:lang w:val="en-US"/>
        </w:rPr>
        <w:t>)</w:t>
      </w:r>
      <w:r w:rsidR="00D24C0A" w:rsidRPr="008E469A">
        <w:rPr>
          <w:b/>
          <w:bCs/>
          <w:lang w:val="en-US"/>
        </w:rPr>
        <w:t xml:space="preserve"> where a half-duplex UE is not expected to monitor PDCCH, in the light of </w:t>
      </w:r>
      <w:r w:rsidR="008E469A" w:rsidRPr="008E469A">
        <w:rPr>
          <w:b/>
          <w:bCs/>
          <w:lang w:val="en-US"/>
        </w:rPr>
        <w:t>large TAs in NTN.</w:t>
      </w:r>
    </w:p>
    <w:p w14:paraId="7485D5E8" w14:textId="77777777" w:rsidR="00647D8A" w:rsidRDefault="00647D8A" w:rsidP="00B67771">
      <w:pPr>
        <w:rPr>
          <w:b/>
          <w:bCs/>
          <w:lang w:val="en-US"/>
        </w:rPr>
      </w:pPr>
    </w:p>
    <w:p w14:paraId="44AD8B0A" w14:textId="7AAC84EB" w:rsidR="00647D8A" w:rsidRPr="00647D8A" w:rsidRDefault="00245257" w:rsidP="00B67771">
      <w:pPr>
        <w:pStyle w:val="Style2"/>
        <w:numPr>
          <w:ilvl w:val="1"/>
          <w:numId w:val="1"/>
        </w:numPr>
      </w:pPr>
      <w:r>
        <w:t>Maintaining throughput</w:t>
      </w:r>
    </w:p>
    <w:p w14:paraId="6E313770" w14:textId="77777777" w:rsidR="00647D8A" w:rsidRDefault="00647D8A" w:rsidP="00B67771">
      <w:pPr>
        <w:rPr>
          <w:b/>
          <w:bCs/>
          <w:lang w:val="en-US"/>
        </w:rPr>
      </w:pPr>
    </w:p>
    <w:p w14:paraId="4EFEAB01" w14:textId="4156E764" w:rsidR="00F03D87" w:rsidRDefault="00BD52C2" w:rsidP="00BD52C2">
      <w:pPr>
        <w:rPr>
          <w:lang w:val="en-US"/>
        </w:rPr>
      </w:pPr>
      <w:r w:rsidRPr="00BD52C2">
        <w:rPr>
          <w:lang w:val="en-US"/>
        </w:rPr>
        <w:t>In an NTN, a UE may have to wait for a considerable period after receiving a DL transmission before it transmits the corresponding UL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>This is especially true for “near UEs” if the “scheduling offsets” (</w:t>
      </w:r>
      <w:proofErr w:type="spellStart"/>
      <w:r w:rsidRPr="00BD52C2">
        <w:rPr>
          <w:lang w:val="en-US"/>
        </w:rPr>
        <w:t>K_offset</w:t>
      </w:r>
      <w:proofErr w:type="spellEnd"/>
      <w:r w:rsidRPr="00BD52C2">
        <w:rPr>
          <w:lang w:val="en-US"/>
        </w:rPr>
        <w:t>) are cell-specific, and hence, cater to UEs with the worst round-trip time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 xml:space="preserve">According to current specifications, in many such would-be “waiting periods”, the UE is “not required to monitor NPDCCH” (see </w:t>
      </w:r>
      <w:r w:rsidR="00C30A2F">
        <w:rPr>
          <w:lang w:val="en-US"/>
        </w:rPr>
        <w:t xml:space="preserve">Fig. </w:t>
      </w:r>
      <w:r w:rsidR="00D04BEA">
        <w:rPr>
          <w:lang w:val="en-US"/>
        </w:rPr>
        <w:t>9</w:t>
      </w:r>
      <w:r w:rsidRPr="00BD52C2">
        <w:rPr>
          <w:lang w:val="en-US"/>
        </w:rPr>
        <w:t>)</w:t>
      </w:r>
      <w:r w:rsidR="00C30A2F">
        <w:rPr>
          <w:lang w:val="en-US"/>
        </w:rPr>
        <w:t xml:space="preserve">. </w:t>
      </w:r>
      <w:r w:rsidR="00EC2CE5">
        <w:rPr>
          <w:lang w:val="en-US"/>
        </w:rPr>
        <w:t>An e</w:t>
      </w:r>
      <w:r w:rsidRPr="00BD52C2">
        <w:rPr>
          <w:lang w:val="en-US"/>
        </w:rPr>
        <w:t>xample</w:t>
      </w:r>
      <w:r w:rsidR="00EC2CE5">
        <w:rPr>
          <w:lang w:val="en-US"/>
        </w:rPr>
        <w:t xml:space="preserve"> shown in the figure is the t</w:t>
      </w:r>
      <w:r w:rsidRPr="00BD52C2">
        <w:rPr>
          <w:lang w:val="en-US"/>
        </w:rPr>
        <w:t>ime period between receiving an NPDSCH and transmitting the corresponding HARQ ACK</w:t>
      </w:r>
      <w:r w:rsidR="00EC2CE5">
        <w:rPr>
          <w:lang w:val="en-US"/>
        </w:rPr>
        <w:t>.</w:t>
      </w:r>
    </w:p>
    <w:p w14:paraId="46DA758F" w14:textId="77777777" w:rsidR="0054719B" w:rsidRDefault="0054719B" w:rsidP="0054719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FB5F921" wp14:editId="757B01DB">
            <wp:extent cx="4072310" cy="2356305"/>
            <wp:effectExtent l="0" t="0" r="4445" b="0"/>
            <wp:docPr id="27" name="Picture 27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Hroughput_current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406" cy="235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C727D" w14:textId="6F6F61AA" w:rsidR="00EC2CE5" w:rsidRDefault="0054719B" w:rsidP="0054719B">
      <w:pPr>
        <w:pStyle w:val="Caption"/>
        <w:jc w:val="center"/>
        <w:rPr>
          <w:noProof/>
        </w:rPr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 w:rsidR="00712BC8">
        <w:rPr>
          <w:noProof/>
        </w:rPr>
        <w:t>9</w:t>
      </w:r>
      <w:r w:rsidR="003216E0">
        <w:rPr>
          <w:noProof/>
        </w:rPr>
        <w:fldChar w:fldCharType="end"/>
      </w:r>
      <w:r>
        <w:t>: Illustration of current UE behavior</w:t>
      </w:r>
      <w:r>
        <w:rPr>
          <w:noProof/>
        </w:rPr>
        <w:t xml:space="preserve"> between receiving NPDSCH and transmitting HARQ ACK.</w:t>
      </w:r>
    </w:p>
    <w:p w14:paraId="2B0D9AE9" w14:textId="607A0F0A" w:rsidR="00FD4AD2" w:rsidRDefault="00144F61" w:rsidP="00FD4AD2">
      <w:pPr>
        <w:rPr>
          <w:lang w:val="en-US"/>
        </w:rPr>
      </w:pPr>
      <w:r>
        <w:rPr>
          <w:lang w:val="en-US"/>
        </w:rPr>
        <w:t xml:space="preserve">To mitigate this loss in throughput, </w:t>
      </w:r>
      <w:r w:rsidR="00355044">
        <w:rPr>
          <w:lang w:val="en-US"/>
        </w:rPr>
        <w:t>we can enable PDCCH monitoring for at least a subset of the “waiting period” shown above</w:t>
      </w:r>
      <w:r w:rsidR="00712BC8">
        <w:rPr>
          <w:lang w:val="en-US"/>
        </w:rPr>
        <w:t xml:space="preserve"> (shown in Fig. </w:t>
      </w:r>
      <w:r w:rsidR="00D04BEA">
        <w:rPr>
          <w:lang w:val="en-US"/>
        </w:rPr>
        <w:t>10</w:t>
      </w:r>
      <w:r w:rsidR="00712BC8">
        <w:rPr>
          <w:lang w:val="en-US"/>
        </w:rPr>
        <w:t>)</w:t>
      </w:r>
      <w:r w:rsidR="00355044">
        <w:rPr>
          <w:lang w:val="en-US"/>
        </w:rPr>
        <w:t>.</w:t>
      </w:r>
    </w:p>
    <w:p w14:paraId="0834999F" w14:textId="77777777" w:rsidR="00712BC8" w:rsidRDefault="00712BC8" w:rsidP="00712BC8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A0521CB" wp14:editId="3B0062CA">
            <wp:extent cx="4442829" cy="2567391"/>
            <wp:effectExtent l="0" t="0" r="0" b="0"/>
            <wp:docPr id="28" name="Picture 28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Hroughput_proposed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564" cy="257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419E5" w14:textId="146791CB" w:rsidR="00712BC8" w:rsidRDefault="00712BC8" w:rsidP="00712BC8">
      <w:pPr>
        <w:pStyle w:val="Caption"/>
        <w:jc w:val="center"/>
      </w:pPr>
      <w:r>
        <w:t xml:space="preserve">Figure </w:t>
      </w:r>
      <w:r w:rsidR="003216E0">
        <w:fldChar w:fldCharType="begin"/>
      </w:r>
      <w:r w:rsidR="003216E0">
        <w:instrText xml:space="preserve"> SEQ Figure \* ARABIC </w:instrText>
      </w:r>
      <w:r w:rsidR="003216E0">
        <w:fldChar w:fldCharType="separate"/>
      </w:r>
      <w:r>
        <w:rPr>
          <w:noProof/>
        </w:rPr>
        <w:t>10</w:t>
      </w:r>
      <w:r w:rsidR="003216E0">
        <w:rPr>
          <w:noProof/>
        </w:rPr>
        <w:fldChar w:fldCharType="end"/>
      </w:r>
      <w:r>
        <w:t xml:space="preserve">: </w:t>
      </w:r>
      <w:r w:rsidRPr="004234AE">
        <w:t xml:space="preserve">Illustration of </w:t>
      </w:r>
      <w:r>
        <w:t>proposed</w:t>
      </w:r>
      <w:r w:rsidRPr="004234AE">
        <w:t xml:space="preserve"> UE behavior between receiving NPDSCH and transmitting HARQ ACK</w:t>
      </w:r>
      <w:r>
        <w:t>, to increase overall throughput</w:t>
      </w:r>
      <w:r w:rsidRPr="004234AE">
        <w:t>.</w:t>
      </w:r>
    </w:p>
    <w:p w14:paraId="6450CAB9" w14:textId="17052761" w:rsidR="00712BC8" w:rsidRPr="00F92013" w:rsidRDefault="001536B5" w:rsidP="00712BC8">
      <w:pPr>
        <w:rPr>
          <w:b/>
          <w:bCs/>
          <w:lang w:val="en-US"/>
        </w:rPr>
      </w:pPr>
      <w:r w:rsidRPr="00F92013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10</w:t>
      </w:r>
      <w:r w:rsidRPr="00F92013">
        <w:rPr>
          <w:b/>
          <w:bCs/>
          <w:lang w:val="en-US"/>
        </w:rPr>
        <w:t xml:space="preserve">: RAN1 to study enabling PDCCH monitoring in “waiting periods”—for example, </w:t>
      </w:r>
      <w:r w:rsidR="00F92013" w:rsidRPr="00F92013">
        <w:rPr>
          <w:b/>
          <w:bCs/>
          <w:lang w:val="en-US"/>
        </w:rPr>
        <w:t>between receiving NPDSCH and transmitting HARQ ACK in NB-IoT—to mitigate suboptimal throughput.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1CC1AB65" w:rsidR="009D5294" w:rsidRDefault="000236C6" w:rsidP="006C1D96">
      <w:r w:rsidRPr="000236C6">
        <w:t xml:space="preserve">In this contribution we presented our initial views on </w:t>
      </w:r>
      <w:r w:rsidR="00FD4AD2">
        <w:t>enhancements for</w:t>
      </w:r>
      <w:r w:rsidR="001B1620">
        <w:t xml:space="preserve">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Pr="000236C6">
        <w:t xml:space="preserve">. </w:t>
      </w:r>
      <w:r w:rsidR="00BC3A60">
        <w:t>We summarize our proposals below.</w:t>
      </w:r>
    </w:p>
    <w:p w14:paraId="5721DC97" w14:textId="77777777" w:rsidR="004C5F77" w:rsidRPr="00F2289D" w:rsidRDefault="004C5F77" w:rsidP="004C5F77">
      <w:pPr>
        <w:rPr>
          <w:b/>
          <w:bCs/>
        </w:rPr>
      </w:pPr>
      <w:r w:rsidRPr="00F2289D">
        <w:rPr>
          <w:b/>
          <w:bCs/>
          <w:i/>
          <w:iCs/>
          <w:u w:val="single"/>
        </w:rPr>
        <w:t>Observation</w:t>
      </w:r>
      <w:r>
        <w:rPr>
          <w:b/>
          <w:bCs/>
          <w:i/>
          <w:iCs/>
          <w:u w:val="single"/>
        </w:rPr>
        <w:t xml:space="preserve"> 1</w:t>
      </w:r>
      <w:r w:rsidRPr="00F2289D">
        <w:rPr>
          <w:b/>
          <w:bCs/>
        </w:rPr>
        <w:t xml:space="preserve">: In S-band frequencies, the frequency error during initial downlink synchronization (initial cell access) can be up to 47.5 kHz +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doppler</m:t>
            </m:r>
          </m:sub>
        </m:sSub>
      </m:oMath>
      <w:r w:rsidRPr="00F2289D">
        <w:rPr>
          <w:b/>
          <w:bCs/>
        </w:rPr>
        <w:t>.</w:t>
      </w:r>
    </w:p>
    <w:p w14:paraId="4918674B" w14:textId="77777777" w:rsidR="004C5F77" w:rsidRDefault="004C5F77" w:rsidP="004C5F77">
      <w:pPr>
        <w:rPr>
          <w:b/>
          <w:bCs/>
        </w:rPr>
      </w:pPr>
      <w:r w:rsidRPr="00B73FDF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1</w:t>
      </w:r>
      <w:r w:rsidRPr="00B73FDF">
        <w:rPr>
          <w:b/>
          <w:bCs/>
        </w:rPr>
        <w:t xml:space="preserve">: RAN1 to </w:t>
      </w:r>
      <w:r>
        <w:rPr>
          <w:b/>
          <w:bCs/>
        </w:rPr>
        <w:t>study</w:t>
      </w:r>
      <w:r w:rsidRPr="00B73FDF">
        <w:rPr>
          <w:b/>
          <w:bCs/>
        </w:rPr>
        <w:t xml:space="preserve"> enhancements to prevent </w:t>
      </w:r>
      <w:proofErr w:type="gramStart"/>
      <w:r w:rsidRPr="00B73FDF">
        <w:rPr>
          <w:b/>
          <w:bCs/>
        </w:rPr>
        <w:t>an</w:t>
      </w:r>
      <w:proofErr w:type="gramEnd"/>
      <w:r w:rsidRPr="00B73FDF">
        <w:rPr>
          <w:b/>
          <w:bCs/>
        </w:rPr>
        <w:t xml:space="preserve"> UE from locking on to an incorrect frequency corresponding to a </w:t>
      </w:r>
      <w:r>
        <w:rPr>
          <w:b/>
          <w:bCs/>
        </w:rPr>
        <w:t>(</w:t>
      </w:r>
      <w:r w:rsidRPr="00B73FDF">
        <w:rPr>
          <w:b/>
          <w:bCs/>
        </w:rPr>
        <w:t>N</w:t>
      </w:r>
      <w:r>
        <w:rPr>
          <w:b/>
          <w:bCs/>
        </w:rPr>
        <w:t>)</w:t>
      </w:r>
      <w:r w:rsidRPr="00B73FDF">
        <w:rPr>
          <w:b/>
          <w:bCs/>
        </w:rPr>
        <w:t>cell</w:t>
      </w:r>
      <w:r>
        <w:rPr>
          <w:b/>
          <w:bCs/>
        </w:rPr>
        <w:t>, such as increasing the raster size, or including a portion of the ARFCN in the (NB-)MIB.</w:t>
      </w:r>
    </w:p>
    <w:p w14:paraId="483F8B4D" w14:textId="77777777" w:rsidR="004C5F77" w:rsidRDefault="004C5F77" w:rsidP="004C5F77">
      <w:r w:rsidRPr="002424FF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2</w:t>
      </w:r>
      <w:r>
        <w:t xml:space="preserve">:  </w:t>
      </w:r>
      <w:r w:rsidRPr="005B0A3D">
        <w:rPr>
          <w:b/>
          <w:bCs/>
        </w:rPr>
        <w:t>Support NB-IoT over NTN in standalone and in-band/guard-band with NR modes only.</w:t>
      </w:r>
    </w:p>
    <w:p w14:paraId="48CFE7C2" w14:textId="77777777" w:rsidR="004C5F77" w:rsidRPr="007F72E4" w:rsidRDefault="004C5F77" w:rsidP="004C5F77">
      <w:pPr>
        <w:rPr>
          <w:b/>
          <w:bCs/>
        </w:rPr>
      </w:pPr>
      <w:r w:rsidRPr="005B0A3D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3</w:t>
      </w:r>
      <w:r w:rsidRPr="005B0A3D">
        <w:rPr>
          <w:b/>
          <w:bCs/>
        </w:rPr>
        <w:t xml:space="preserve">: Include the first three symbols in a subframe as well as the REs corresponding to the 4 CRS ports for rate matching the NPBCH. </w:t>
      </w:r>
    </w:p>
    <w:p w14:paraId="6AFACEB2" w14:textId="77777777" w:rsidR="004C5F77" w:rsidRPr="00900B1E" w:rsidRDefault="004C5F77" w:rsidP="004C5F77">
      <w:pPr>
        <w:rPr>
          <w:b/>
          <w:bCs/>
          <w:lang w:val="en-US"/>
        </w:rPr>
      </w:pPr>
      <w:r w:rsidRPr="00900B1E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4</w:t>
      </w:r>
      <w:r w:rsidRPr="00900B1E">
        <w:rPr>
          <w:b/>
          <w:bCs/>
          <w:lang w:val="en-US"/>
        </w:rPr>
        <w:t xml:space="preserve">: RAN1 to study potential enhancements to </w:t>
      </w:r>
      <w:r>
        <w:rPr>
          <w:b/>
          <w:bCs/>
          <w:lang w:val="en-US"/>
        </w:rPr>
        <w:t>(N)</w:t>
      </w:r>
      <w:r w:rsidRPr="00900B1E">
        <w:rPr>
          <w:b/>
          <w:bCs/>
          <w:lang w:val="en-US"/>
        </w:rPr>
        <w:t>PRACH design, depending on the agreements on satellite location accuracy at the UE (including the frequency of SIB reads required to facilitate that accuracy).</w:t>
      </w:r>
    </w:p>
    <w:p w14:paraId="32D87EF9" w14:textId="77777777" w:rsidR="004C5F77" w:rsidRDefault="004C5F77" w:rsidP="004C5F77">
      <w:pPr>
        <w:rPr>
          <w:b/>
          <w:bCs/>
        </w:rPr>
      </w:pPr>
      <w:r w:rsidRPr="00C262A2">
        <w:rPr>
          <w:b/>
          <w:bCs/>
          <w:i/>
          <w:iCs/>
          <w:u w:val="single"/>
        </w:rPr>
        <w:t>Observation</w:t>
      </w:r>
      <w:r>
        <w:rPr>
          <w:b/>
          <w:bCs/>
          <w:i/>
          <w:iCs/>
          <w:u w:val="single"/>
        </w:rPr>
        <w:t xml:space="preserve"> 2</w:t>
      </w:r>
      <w:r w:rsidRPr="00C262A2">
        <w:rPr>
          <w:b/>
          <w:bCs/>
        </w:rPr>
        <w:t>: Over LEO satellites with non-steerable beams, a serving beam change would always imply a serving cell change, without additional enhancements.</w:t>
      </w:r>
    </w:p>
    <w:p w14:paraId="368BD71F" w14:textId="77777777" w:rsidR="004C5F77" w:rsidRDefault="004C5F77" w:rsidP="004C5F77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This would result in frequent SIB reads for IDLE cell reselection, and frequent RLFs</w:t>
      </w:r>
      <w:r w:rsidRPr="0059466F">
        <w:rPr>
          <w:b/>
          <w:bCs/>
        </w:rPr>
        <w:t xml:space="preserve">/handovers </w:t>
      </w:r>
      <w:r>
        <w:rPr>
          <w:b/>
          <w:bCs/>
        </w:rPr>
        <w:t>in connected mode.</w:t>
      </w:r>
    </w:p>
    <w:p w14:paraId="2DC890BC" w14:textId="77777777" w:rsidR="004C5F77" w:rsidRDefault="004C5F77" w:rsidP="004C5F77">
      <w:pPr>
        <w:rPr>
          <w:b/>
          <w:bCs/>
          <w:lang w:val="en-US"/>
        </w:rPr>
      </w:pPr>
      <w:r w:rsidRPr="00BA3BB8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5</w:t>
      </w:r>
      <w:r w:rsidRPr="00BA3BB8">
        <w:rPr>
          <w:b/>
          <w:bCs/>
          <w:lang w:val="en-US"/>
        </w:rPr>
        <w:t xml:space="preserve">: RAN1 to </w:t>
      </w:r>
      <w:r>
        <w:rPr>
          <w:b/>
          <w:bCs/>
          <w:lang w:val="en-US"/>
        </w:rPr>
        <w:t>study</w:t>
      </w:r>
      <w:r w:rsidRPr="00BA3BB8">
        <w:rPr>
          <w:b/>
          <w:bCs/>
          <w:lang w:val="en-US"/>
        </w:rPr>
        <w:t xml:space="preserve"> support of a </w:t>
      </w:r>
      <w:proofErr w:type="spellStart"/>
      <w:r w:rsidRPr="00BA3BB8">
        <w:rPr>
          <w:b/>
          <w:bCs/>
          <w:lang w:val="en-US"/>
        </w:rPr>
        <w:t>Ncell</w:t>
      </w:r>
      <w:proofErr w:type="spellEnd"/>
      <w:r w:rsidRPr="00BA3BB8">
        <w:rPr>
          <w:b/>
          <w:bCs/>
          <w:lang w:val="en-US"/>
        </w:rPr>
        <w:t xml:space="preserve"> with multiple anchor carriers (e.g., one per satellite beam)</w:t>
      </w:r>
      <w:r>
        <w:rPr>
          <w:b/>
          <w:bCs/>
          <w:lang w:val="en-US"/>
        </w:rPr>
        <w:t xml:space="preserve"> for NTN</w:t>
      </w:r>
      <w:r w:rsidRPr="00BA3BB8">
        <w:rPr>
          <w:b/>
          <w:bCs/>
          <w:lang w:val="en-US"/>
        </w:rPr>
        <w:t>.</w:t>
      </w:r>
    </w:p>
    <w:p w14:paraId="02655949" w14:textId="77777777" w:rsidR="004C5F77" w:rsidRDefault="004C5F77" w:rsidP="004C5F77">
      <w:pPr>
        <w:rPr>
          <w:b/>
          <w:bCs/>
          <w:lang w:val="en-US"/>
        </w:rPr>
      </w:pPr>
      <w:r w:rsidRPr="008221BA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6</w:t>
      </w:r>
      <w:r w:rsidRPr="008221BA">
        <w:rPr>
          <w:b/>
          <w:bCs/>
          <w:lang w:val="en-US"/>
        </w:rPr>
        <w:t xml:space="preserve">: RAN1 to </w:t>
      </w:r>
      <w:r>
        <w:rPr>
          <w:b/>
          <w:bCs/>
          <w:lang w:val="en-US"/>
        </w:rPr>
        <w:t>study</w:t>
      </w:r>
      <w:r w:rsidRPr="008221BA">
        <w:rPr>
          <w:b/>
          <w:bCs/>
          <w:lang w:val="en-US"/>
        </w:rPr>
        <w:t xml:space="preserve"> DCI/MAC-CE based satellite beam-switching across different carriers (in different satellite beams) of a </w:t>
      </w:r>
      <w:proofErr w:type="spellStart"/>
      <w:r w:rsidRPr="008221BA">
        <w:rPr>
          <w:b/>
          <w:bCs/>
          <w:lang w:val="en-US"/>
        </w:rPr>
        <w:t>Ncell</w:t>
      </w:r>
      <w:proofErr w:type="spellEnd"/>
      <w:r w:rsidRPr="008221BA">
        <w:rPr>
          <w:b/>
          <w:bCs/>
          <w:lang w:val="en-US"/>
        </w:rPr>
        <w:t>, in connected mode.</w:t>
      </w:r>
    </w:p>
    <w:p w14:paraId="051F08F5" w14:textId="77777777" w:rsidR="004C5F77" w:rsidRPr="0080168D" w:rsidRDefault="004C5F77" w:rsidP="004C5F77">
      <w:pPr>
        <w:rPr>
          <w:b/>
          <w:bCs/>
          <w:lang w:val="en-US"/>
        </w:rPr>
      </w:pPr>
      <w:r w:rsidRPr="0080168D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7</w:t>
      </w:r>
      <w:r w:rsidRPr="0080168D">
        <w:rPr>
          <w:b/>
          <w:bCs/>
          <w:lang w:val="en-US"/>
        </w:rPr>
        <w:t>: RAN1 to study NPRACH preamble-based satellite beam sounding, to facilitate connected mode beam-switching.</w:t>
      </w:r>
    </w:p>
    <w:p w14:paraId="12A764C5" w14:textId="77777777" w:rsidR="004C5F77" w:rsidRDefault="004C5F77" w:rsidP="004C5F77">
      <w:pPr>
        <w:rPr>
          <w:b/>
          <w:bCs/>
          <w:lang w:val="en-US"/>
        </w:rPr>
      </w:pPr>
      <w:r w:rsidRPr="00651E33">
        <w:rPr>
          <w:b/>
          <w:bCs/>
          <w:i/>
          <w:iCs/>
          <w:u w:val="single"/>
          <w:lang w:val="en-US"/>
        </w:rPr>
        <w:t>Observation</w:t>
      </w:r>
      <w:r>
        <w:rPr>
          <w:b/>
          <w:bCs/>
          <w:i/>
          <w:iCs/>
          <w:u w:val="single"/>
          <w:lang w:val="en-US"/>
        </w:rPr>
        <w:t xml:space="preserve"> 3</w:t>
      </w:r>
      <w:r w:rsidRPr="00651E33">
        <w:rPr>
          <w:b/>
          <w:bCs/>
          <w:lang w:val="en-US"/>
        </w:rPr>
        <w:t xml:space="preserve">: For half-duplex UEs (including NB-IoT and HD </w:t>
      </w:r>
      <w:proofErr w:type="spellStart"/>
      <w:r w:rsidRPr="00651E33">
        <w:rPr>
          <w:b/>
          <w:bCs/>
          <w:lang w:val="en-US"/>
        </w:rPr>
        <w:t>eMTC</w:t>
      </w:r>
      <w:proofErr w:type="spellEnd"/>
      <w:r w:rsidRPr="00651E33">
        <w:rPr>
          <w:b/>
          <w:bCs/>
          <w:lang w:val="en-US"/>
        </w:rPr>
        <w:t xml:space="preserve"> UEs), the interrupted downlink subframes due to an uplink transmission are UE-specific and related to the UE-specific TA.</w:t>
      </w:r>
    </w:p>
    <w:p w14:paraId="3AD181CB" w14:textId="77777777" w:rsidR="004C5F77" w:rsidRDefault="004C5F77" w:rsidP="004C5F77">
      <w:pPr>
        <w:rPr>
          <w:b/>
          <w:bCs/>
          <w:lang w:val="en-US"/>
        </w:rPr>
      </w:pPr>
      <w:r w:rsidRPr="00AD7F52">
        <w:rPr>
          <w:b/>
          <w:bCs/>
          <w:i/>
          <w:iCs/>
          <w:u w:val="single"/>
          <w:lang w:val="en-US"/>
        </w:rPr>
        <w:lastRenderedPageBreak/>
        <w:t>Proposal</w:t>
      </w:r>
      <w:r>
        <w:rPr>
          <w:b/>
          <w:bCs/>
          <w:i/>
          <w:iCs/>
          <w:u w:val="single"/>
          <w:lang w:val="en-US"/>
        </w:rPr>
        <w:t xml:space="preserve"> 8</w:t>
      </w:r>
      <w:r w:rsidRPr="00AD7F52">
        <w:rPr>
          <w:b/>
          <w:bCs/>
          <w:lang w:val="en-US"/>
        </w:rPr>
        <w:t>: RAN1 to study mechanisms for UE reporting of UE-specific TA for half-duplex UEs over NTN, including mechanisms for updating the TA when it changes.</w:t>
      </w:r>
    </w:p>
    <w:p w14:paraId="126D2818" w14:textId="77777777" w:rsidR="004C5F77" w:rsidRDefault="004C5F77" w:rsidP="004C5F77">
      <w:pPr>
        <w:rPr>
          <w:b/>
          <w:bCs/>
          <w:lang w:val="en-US"/>
        </w:rPr>
      </w:pPr>
      <w:r w:rsidRPr="008E469A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9</w:t>
      </w:r>
      <w:r w:rsidRPr="008E469A">
        <w:rPr>
          <w:b/>
          <w:bCs/>
          <w:lang w:val="en-US"/>
        </w:rPr>
        <w:t xml:space="preserve">: RAN1 to </w:t>
      </w:r>
      <w:r>
        <w:rPr>
          <w:b/>
          <w:bCs/>
          <w:lang w:val="en-US"/>
        </w:rPr>
        <w:t>study</w:t>
      </w:r>
      <w:r w:rsidRPr="008E469A">
        <w:rPr>
          <w:b/>
          <w:bCs/>
          <w:lang w:val="en-US"/>
        </w:rPr>
        <w:t xml:space="preserve"> the definition of downlink interrupted subframes (e.g., those before and after a PUSCH, PRACH, and half-duplex guard periods) where a half-duplex UE is not expected to monitor PDCCH, in the light of large TAs in NTN.</w:t>
      </w:r>
    </w:p>
    <w:p w14:paraId="1EF4AB93" w14:textId="518B39D8" w:rsidR="001B1620" w:rsidRPr="004C5F77" w:rsidRDefault="004C5F77" w:rsidP="006C1D96">
      <w:pPr>
        <w:rPr>
          <w:b/>
          <w:bCs/>
          <w:lang w:val="en-US"/>
        </w:rPr>
      </w:pPr>
      <w:r w:rsidRPr="00F92013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10</w:t>
      </w:r>
      <w:r w:rsidRPr="00F92013">
        <w:rPr>
          <w:b/>
          <w:bCs/>
          <w:lang w:val="en-US"/>
        </w:rPr>
        <w:t>: RAN1 to study enabling PDCCH monitoring in “waiting periods”—for example, between receiving NPDSCH and transmitting HARQ ACK in NB-IoT—to mitigate suboptimal throughput.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4997BAF" w14:textId="57526285" w:rsidR="002D79FA" w:rsidRDefault="00874392" w:rsidP="002D79FA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p w14:paraId="732E5DDC" w14:textId="36E598BE" w:rsidR="00E670D8" w:rsidRPr="001B159B" w:rsidRDefault="00E670D8" w:rsidP="002D79FA">
      <w:r>
        <w:rPr>
          <w:lang w:val="en-US"/>
        </w:rPr>
        <w:t xml:space="preserve">[2] </w:t>
      </w:r>
      <w:r w:rsidR="00963807" w:rsidRPr="00963807">
        <w:rPr>
          <w:lang w:val="en-US"/>
        </w:rPr>
        <w:t>R1-2009114</w:t>
      </w:r>
      <w:r w:rsidR="00963807">
        <w:rPr>
          <w:lang w:val="en-US"/>
        </w:rPr>
        <w:t>, “</w:t>
      </w:r>
      <w:r w:rsidR="00AE187B" w:rsidRPr="00AE187B">
        <w:rPr>
          <w:lang w:val="en-US"/>
        </w:rPr>
        <w:t>Scenarios applicable to NB-IoT/</w:t>
      </w:r>
      <w:proofErr w:type="spellStart"/>
      <w:r w:rsidR="00AE187B" w:rsidRPr="00AE187B">
        <w:rPr>
          <w:lang w:val="en-US"/>
        </w:rPr>
        <w:t>eMTC</w:t>
      </w:r>
      <w:proofErr w:type="spellEnd"/>
      <w:r w:rsidR="00963807">
        <w:rPr>
          <w:lang w:val="en-US"/>
        </w:rPr>
        <w:t>” by Qualcomm Incorporated, RAN1 103-e</w:t>
      </w:r>
      <w:r w:rsidR="007C3908">
        <w:rPr>
          <w:lang w:val="en-US"/>
        </w:rPr>
        <w:t>.</w:t>
      </w:r>
      <w:r w:rsidR="00963807">
        <w:rPr>
          <w:lang w:val="en-US"/>
        </w:rPr>
        <w:t xml:space="preserve"> </w:t>
      </w:r>
    </w:p>
    <w:p w14:paraId="40CB324D" w14:textId="27D13930" w:rsidR="006C1D96" w:rsidRPr="001B159B" w:rsidRDefault="006C1D96" w:rsidP="001B159B"/>
    <w:sectPr w:rsidR="006C1D96" w:rsidRPr="001B159B" w:rsidSect="00717CC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D4DEF" w16cex:dateUtc="2020-10-23T19:41:00Z"/>
  <w16cex:commentExtensible w16cex:durableId="233D4E3A" w16cex:dateUtc="2020-10-23T1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99FF1" w14:textId="77777777" w:rsidR="00A544C8" w:rsidRDefault="00A544C8">
      <w:pPr>
        <w:spacing w:after="0"/>
      </w:pPr>
      <w:r>
        <w:separator/>
      </w:r>
    </w:p>
  </w:endnote>
  <w:endnote w:type="continuationSeparator" w:id="0">
    <w:p w14:paraId="1FF72F35" w14:textId="77777777" w:rsidR="00A544C8" w:rsidRDefault="00A544C8">
      <w:pPr>
        <w:spacing w:after="0"/>
      </w:pPr>
      <w:r>
        <w:continuationSeparator/>
      </w:r>
    </w:p>
  </w:endnote>
  <w:endnote w:type="continuationNotice" w:id="1">
    <w:p w14:paraId="2AE9A58C" w14:textId="77777777" w:rsidR="00A544C8" w:rsidRDefault="00A54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5B5D" w14:textId="77777777" w:rsidR="00A544C8" w:rsidRDefault="00A544C8">
      <w:pPr>
        <w:spacing w:after="0"/>
      </w:pPr>
      <w:r>
        <w:separator/>
      </w:r>
    </w:p>
  </w:footnote>
  <w:footnote w:type="continuationSeparator" w:id="0">
    <w:p w14:paraId="0ED80053" w14:textId="77777777" w:rsidR="00A544C8" w:rsidRDefault="00A544C8">
      <w:pPr>
        <w:spacing w:after="0"/>
      </w:pPr>
      <w:r>
        <w:continuationSeparator/>
      </w:r>
    </w:p>
  </w:footnote>
  <w:footnote w:type="continuationNotice" w:id="1">
    <w:p w14:paraId="5149A40B" w14:textId="77777777" w:rsidR="00A544C8" w:rsidRDefault="00A54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7"/>
  </w:num>
  <w:num w:numId="9">
    <w:abstractNumId w:val="21"/>
  </w:num>
  <w:num w:numId="10">
    <w:abstractNumId w:val="13"/>
  </w:num>
  <w:num w:numId="11">
    <w:abstractNumId w:val="5"/>
  </w:num>
  <w:num w:numId="12">
    <w:abstractNumId w:val="1"/>
  </w:num>
  <w:num w:numId="13">
    <w:abstractNumId w:val="22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707F2"/>
    <w:rsid w:val="00081CDD"/>
    <w:rsid w:val="00097E6B"/>
    <w:rsid w:val="000B1990"/>
    <w:rsid w:val="000C6FD1"/>
    <w:rsid w:val="000D4151"/>
    <w:rsid w:val="000E1342"/>
    <w:rsid w:val="000E330D"/>
    <w:rsid w:val="000F70C7"/>
    <w:rsid w:val="0010253A"/>
    <w:rsid w:val="001030EF"/>
    <w:rsid w:val="00114D8E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C099B"/>
    <w:rsid w:val="001C6F21"/>
    <w:rsid w:val="001D0240"/>
    <w:rsid w:val="001E008E"/>
    <w:rsid w:val="001E0B5B"/>
    <w:rsid w:val="001E1134"/>
    <w:rsid w:val="001F70E2"/>
    <w:rsid w:val="002162F8"/>
    <w:rsid w:val="00230057"/>
    <w:rsid w:val="002424FF"/>
    <w:rsid w:val="00244F6A"/>
    <w:rsid w:val="00245257"/>
    <w:rsid w:val="002500D0"/>
    <w:rsid w:val="00255F0A"/>
    <w:rsid w:val="00256BFC"/>
    <w:rsid w:val="00260902"/>
    <w:rsid w:val="00262FFA"/>
    <w:rsid w:val="00264BDF"/>
    <w:rsid w:val="002742EE"/>
    <w:rsid w:val="002804CE"/>
    <w:rsid w:val="00287B8D"/>
    <w:rsid w:val="00291786"/>
    <w:rsid w:val="0029388D"/>
    <w:rsid w:val="002A30DB"/>
    <w:rsid w:val="002B2E77"/>
    <w:rsid w:val="002B57F0"/>
    <w:rsid w:val="002C343D"/>
    <w:rsid w:val="002C481C"/>
    <w:rsid w:val="002D0EEA"/>
    <w:rsid w:val="002D20C0"/>
    <w:rsid w:val="002D43BB"/>
    <w:rsid w:val="002D79FA"/>
    <w:rsid w:val="002E0ABA"/>
    <w:rsid w:val="00314B41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82105"/>
    <w:rsid w:val="0038329C"/>
    <w:rsid w:val="00386F50"/>
    <w:rsid w:val="00387099"/>
    <w:rsid w:val="003907A8"/>
    <w:rsid w:val="003A012C"/>
    <w:rsid w:val="003B0F05"/>
    <w:rsid w:val="003B2922"/>
    <w:rsid w:val="003C0419"/>
    <w:rsid w:val="003C0B13"/>
    <w:rsid w:val="003C5BD8"/>
    <w:rsid w:val="003E4EB7"/>
    <w:rsid w:val="003F1061"/>
    <w:rsid w:val="003F14E0"/>
    <w:rsid w:val="003F60AF"/>
    <w:rsid w:val="00400A2E"/>
    <w:rsid w:val="0040494C"/>
    <w:rsid w:val="004054D3"/>
    <w:rsid w:val="00410A8D"/>
    <w:rsid w:val="0041454F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23F4"/>
    <w:rsid w:val="00456A24"/>
    <w:rsid w:val="00461019"/>
    <w:rsid w:val="0046275D"/>
    <w:rsid w:val="00464CA3"/>
    <w:rsid w:val="0046551E"/>
    <w:rsid w:val="00476823"/>
    <w:rsid w:val="00476C2A"/>
    <w:rsid w:val="00480C10"/>
    <w:rsid w:val="00483468"/>
    <w:rsid w:val="00483DE7"/>
    <w:rsid w:val="0049213F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F25FD"/>
    <w:rsid w:val="004F53B6"/>
    <w:rsid w:val="00500B75"/>
    <w:rsid w:val="00505979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7D8A"/>
    <w:rsid w:val="00651E33"/>
    <w:rsid w:val="006530FE"/>
    <w:rsid w:val="00662A01"/>
    <w:rsid w:val="00667A31"/>
    <w:rsid w:val="00674A20"/>
    <w:rsid w:val="006805FD"/>
    <w:rsid w:val="006807E3"/>
    <w:rsid w:val="00694ED0"/>
    <w:rsid w:val="006B2436"/>
    <w:rsid w:val="006B3A59"/>
    <w:rsid w:val="006C1D96"/>
    <w:rsid w:val="006C5ED9"/>
    <w:rsid w:val="006E175E"/>
    <w:rsid w:val="00702EB8"/>
    <w:rsid w:val="00710096"/>
    <w:rsid w:val="00712BC8"/>
    <w:rsid w:val="007130B5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370A"/>
    <w:rsid w:val="007C3908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3F41"/>
    <w:rsid w:val="008A385C"/>
    <w:rsid w:val="008A43E0"/>
    <w:rsid w:val="008B3FAF"/>
    <w:rsid w:val="008B6A31"/>
    <w:rsid w:val="008B7F3F"/>
    <w:rsid w:val="008C075D"/>
    <w:rsid w:val="008C6866"/>
    <w:rsid w:val="008C6B2A"/>
    <w:rsid w:val="008D022D"/>
    <w:rsid w:val="008D58EC"/>
    <w:rsid w:val="008D60F7"/>
    <w:rsid w:val="008E469A"/>
    <w:rsid w:val="008F345D"/>
    <w:rsid w:val="008F3E1A"/>
    <w:rsid w:val="00900B1E"/>
    <w:rsid w:val="00901E73"/>
    <w:rsid w:val="00904028"/>
    <w:rsid w:val="00905BDA"/>
    <w:rsid w:val="00910683"/>
    <w:rsid w:val="00911E51"/>
    <w:rsid w:val="009227A4"/>
    <w:rsid w:val="00932470"/>
    <w:rsid w:val="00933FE6"/>
    <w:rsid w:val="00935E08"/>
    <w:rsid w:val="009423AD"/>
    <w:rsid w:val="009467F5"/>
    <w:rsid w:val="00952795"/>
    <w:rsid w:val="00953207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4B23"/>
    <w:rsid w:val="009B5D79"/>
    <w:rsid w:val="009D25C6"/>
    <w:rsid w:val="009D5294"/>
    <w:rsid w:val="009E2C20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A0C73"/>
    <w:rsid w:val="00AA43FE"/>
    <w:rsid w:val="00AA6350"/>
    <w:rsid w:val="00AA685A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6C22"/>
    <w:rsid w:val="00B06E32"/>
    <w:rsid w:val="00B07575"/>
    <w:rsid w:val="00B16A2A"/>
    <w:rsid w:val="00B17212"/>
    <w:rsid w:val="00B17547"/>
    <w:rsid w:val="00B25FF6"/>
    <w:rsid w:val="00B32506"/>
    <w:rsid w:val="00B40DA9"/>
    <w:rsid w:val="00B42AB1"/>
    <w:rsid w:val="00B44059"/>
    <w:rsid w:val="00B4627F"/>
    <w:rsid w:val="00B50E38"/>
    <w:rsid w:val="00B517F2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3A60"/>
    <w:rsid w:val="00BC54A0"/>
    <w:rsid w:val="00BD0F8A"/>
    <w:rsid w:val="00BD52C2"/>
    <w:rsid w:val="00BF27FB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4CE5"/>
    <w:rsid w:val="00C90D68"/>
    <w:rsid w:val="00C94E0B"/>
    <w:rsid w:val="00CB2165"/>
    <w:rsid w:val="00CB37F3"/>
    <w:rsid w:val="00CB704C"/>
    <w:rsid w:val="00CC10E9"/>
    <w:rsid w:val="00CD471E"/>
    <w:rsid w:val="00CD6583"/>
    <w:rsid w:val="00CE04F7"/>
    <w:rsid w:val="00CE6983"/>
    <w:rsid w:val="00D04BEA"/>
    <w:rsid w:val="00D05C13"/>
    <w:rsid w:val="00D0651D"/>
    <w:rsid w:val="00D10724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90AFC"/>
    <w:rsid w:val="00DC6F4D"/>
    <w:rsid w:val="00DE20C2"/>
    <w:rsid w:val="00DE5EF4"/>
    <w:rsid w:val="00DF3E88"/>
    <w:rsid w:val="00DF469B"/>
    <w:rsid w:val="00E03FCE"/>
    <w:rsid w:val="00E06B08"/>
    <w:rsid w:val="00E15ED1"/>
    <w:rsid w:val="00E251FD"/>
    <w:rsid w:val="00E31684"/>
    <w:rsid w:val="00E32EE8"/>
    <w:rsid w:val="00E357FC"/>
    <w:rsid w:val="00E37D8F"/>
    <w:rsid w:val="00E4711B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958B0"/>
    <w:rsid w:val="00E958E3"/>
    <w:rsid w:val="00E9595B"/>
    <w:rsid w:val="00EA2860"/>
    <w:rsid w:val="00EA2CBA"/>
    <w:rsid w:val="00EA74C5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D87"/>
    <w:rsid w:val="00F1324F"/>
    <w:rsid w:val="00F22702"/>
    <w:rsid w:val="00F2289D"/>
    <w:rsid w:val="00F30092"/>
    <w:rsid w:val="00F321D7"/>
    <w:rsid w:val="00F34287"/>
    <w:rsid w:val="00F36DAE"/>
    <w:rsid w:val="00F43612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5BD3"/>
    <w:rsid w:val="00F8682C"/>
    <w:rsid w:val="00F90E18"/>
    <w:rsid w:val="00F90E1B"/>
    <w:rsid w:val="00F92013"/>
    <w:rsid w:val="00FA00E1"/>
    <w:rsid w:val="00FA2448"/>
    <w:rsid w:val="00FA3D40"/>
    <w:rsid w:val="00FA4CAA"/>
    <w:rsid w:val="00FB1A4D"/>
    <w:rsid w:val="00FB7C76"/>
    <w:rsid w:val="00FD4AD2"/>
    <w:rsid w:val="00FF2302"/>
    <w:rsid w:val="00FF2EA9"/>
    <w:rsid w:val="00FF3C1E"/>
    <w:rsid w:val="00FF51D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D6918-1BFF-450A-BF39-D3405B351D64}">
  <ds:schemaRefs>
    <ds:schemaRef ds:uri="74e46bd8-2d3a-46c4-a507-7dab1b7d08c1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904cd28-e998-4c0a-a469-48e92015d5b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57B644-F391-407D-A89E-987C6E1E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379E0-81AE-43C1-8FDB-2F564FDC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2478</Words>
  <Characters>14127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</cp:revision>
  <cp:lastPrinted>2020-02-10T06:14:00Z</cp:lastPrinted>
  <dcterms:created xsi:type="dcterms:W3CDTF">2020-10-23T21:25:00Z</dcterms:created>
  <dcterms:modified xsi:type="dcterms:W3CDTF">2020-10-23T21:25:00Z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7e1c5aa6-bd62-4757-951f-4e2eed3c8a1a</vt:lpwstr>
  </property>
</Properties>
</file>